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0"/>
        <w:jc w:val="center"/>
      </w:pPr>
      <w:r>
        <w:rPr>
          <w:rFonts w:ascii="Times New Roman" w:eastAsia="宋体" w:hAnsi="Times New Roman" w:cs="Times New Roman"/>
          <w:b/>
          <w:bCs/>
          <w:color w:val="000000"/>
          <w:sz w:val="21"/>
          <w:szCs w:val="21"/>
        </w:rPr>
        <w:t xml:space="preserve">重庆游乐园扩建项目 · 商业方案</w:t>
      </w:r>
    </w:p>
    <w:p>
      <w:pPr>
        <w:spacing w:after="60"/>
      </w:pP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立项审批稿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 · 2026-10-10</w:t>
      </w:r>
    </w:p>
    <w:p>
      <w:pPr>
        <w:spacing w:after="60"/>
      </w:pP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本方案含估算数据；正式投资决策前须以设计院造价清单、客流模型与专业机构审核结论为准。</w:t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pStyle w:val="Heading1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一、项目摘要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4592"/>
        <w:gridCol w:w="4592"/>
      </w:tblGrid>
      <w:tr>
        <w:trPr>
          <w:tblHeader/>
        </w:trPr>
        <w:tc>
          <w:tcPr>
            <w:tcW w:type="dxa" w:w="459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项</w:t>
            </w:r>
          </w:p>
        </w:tc>
        <w:tc>
          <w:tcPr>
            <w:tcW w:type="dxa" w:w="459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内容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项目名称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游乐园扩建项目（主题乐园楼 + 过山车 + 水景翻新优化）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项目区位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重庆市 · 北碚区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建设内容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① 主题乐园楼（1.5 万㎡，室内）② 过山车（常规升级级）③ 水景翻新优化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总投资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约 2.9 亿元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（不含土地；用地为园内自有空地）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资金来源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自有资金 1.5 亿元（52%）+ 银行贷款 1.4 亿元（48%）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项目定位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北碚及周边 30–60 分钟车程片区居民的全年全天候高频乐园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预测年营收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现状约 2 亿元 → 扩建后约 3.9 亿元（中性情景）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投资回收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约 6.9 年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（中性情景，含建设期；投产满产静态口径约 4.3 年）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提请事项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批准投资与资金结构；批准立项前三项验证；授权组建建设班子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pStyle w:val="Heading1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二、项目背景</w:t>
      </w:r>
    </w:p>
    <w:p>
      <w:pPr>
        <w:pStyle w:val="Heading2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2.1 现有乐园基线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4592"/>
        <w:gridCol w:w="4592"/>
      </w:tblGrid>
      <w:tr>
        <w:trPr>
          <w:tblHeader/>
        </w:trPr>
        <w:tc>
          <w:tcPr>
            <w:tcW w:type="dxa" w:w="459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指标</w:t>
            </w:r>
          </w:p>
        </w:tc>
        <w:tc>
          <w:tcPr>
            <w:tcW w:type="dxa" w:w="459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现状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年客流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150–300 万人次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年营收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1–3 亿元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客单价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约 100 元（中位）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二消占比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20–35%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年卡 / 会员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有体系，但占比 &lt;10%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用地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自有（园内空地）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 —— 无新增土地成本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团队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运营团队齐备；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无工程建设力量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spacing w:after="130"/>
      </w:pP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核心判断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：现有瓶颈不在"来的人不够"，而在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每人花得少、来得少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（客单价低于一线城市常规水平、二消与复购均低）。</w:t>
      </w:r>
    </w:p>
    <w:p>
      <w:pPr>
        <w:pStyle w:val="Heading2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2.2 市场机会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3061"/>
        <w:gridCol w:w="3061"/>
        <w:gridCol w:w="3061"/>
      </w:tblGrid>
      <w:tr>
        <w:trPr>
          <w:tblHeader/>
        </w:trPr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维度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事实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来源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行业规模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中国主题公园市场 2025 年预计 &gt; 900 亿元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麦肯锡分析（公开转载）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渗透率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中国约 27%，发达市场约 68% —— 仍有空间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同上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重庆避暑需求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夏季 35–40℃+，市民避暑游消费潜力预计达 550 亿元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中国旅游研究院（2023 年报道）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重庆夜经济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夜间堂食消费占比 55%+；火锅 70% 订单发生在夜间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第一财经 / 美团数据（2023）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片区竞品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15–40km 内有融创文旅城、欢乐谷等规模化项目，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无贴身头部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公开信息核查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pStyle w:val="Heading2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2.3 竞争格局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2296"/>
        <w:gridCol w:w="2296"/>
        <w:gridCol w:w="2296"/>
        <w:gridCol w:w="2296"/>
      </w:tblGrid>
      <w:tr>
        <w:trPr>
          <w:tblHeader/>
        </w:trPr>
        <w:tc>
          <w:tcPr>
            <w:tcW w:type="dxa" w:w="229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玩家</w:t>
            </w:r>
          </w:p>
        </w:tc>
        <w:tc>
          <w:tcPr>
            <w:tcW w:type="dxa" w:w="229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位置</w:t>
            </w:r>
          </w:p>
        </w:tc>
        <w:tc>
          <w:tcPr>
            <w:tcW w:type="dxa" w:w="229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特征</w:t>
            </w:r>
          </w:p>
        </w:tc>
        <w:tc>
          <w:tcPr>
            <w:tcW w:type="dxa" w:w="229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与本项目关系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重庆融创文旅城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沙坪坝西永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含三大室内乐园 + 商业综合体；开业首年 1600 万人次、12 亿元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选择集竞品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（15–40km）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重庆欢乐谷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两江新区礼嘉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山地版欢乐谷；已入选市级夜间文旅消费集聚区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选择集竞品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区域性中小乐园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各片区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无全年运营能力、无夜场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贴身竞品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「Hi·重庆」（在建）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两路果园港综保区（渝北）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复星旅文 + 保税港区集团，总体量 50 万㎡；含近 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 万㎡ 室内主题乐园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（全年恒温、60 米挑空、22 组世界级设备、含创 4 项国内纪录的室内过山车）；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计划 2026 年下半年开业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同赛道正面竞争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（距北碚约 40–50km，属机会圈，会吸走追求刺激与新鲜感的客群）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spacing w:after="130"/>
      </w:pP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关键事实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：受重庆地形（跨江跨山、隧道拥堵）影响，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实际通勤时间远大于直线距离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，居民日常出行的心理半径被压缩——这是本项目可利用的结构性空间。</w:t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pStyle w:val="Heading1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三、项目定位与差异化</w:t>
      </w:r>
    </w:p>
    <w:p>
      <w:pPr>
        <w:spacing w:after="130"/>
      </w:pP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定位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：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北碚及周边 30–60 分钟车程片区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居民的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全年全天候高频乐园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。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3061"/>
        <w:gridCol w:w="3061"/>
        <w:gridCol w:w="3061"/>
      </w:tblGrid>
      <w:tr>
        <w:trPr>
          <w:tblHeader/>
        </w:trPr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可交付承诺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载体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解决的痛点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全天候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——不受天气影响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主题乐园楼（室内）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重庆夏季高温、多雨，室外运营天数受限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全时段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——夜间也能玩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水景翻新 + 夜场开放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白天客流见顶，夜间时段未被利用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高频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——值得反复来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年卡 / 会员体系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复购率低（年卡占比 &lt;10%）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spacing w:after="130"/>
      </w:pP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明确的取舍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：不与融创、欢乐谷做全市级正面竞争，不追 IP 大投入与破纪录设备——把资源集中在"更近、更常去"这一头部玩家无法回应的维度上。</w:t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pStyle w:val="Heading1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四、建设内容与投资预算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2296"/>
        <w:gridCol w:w="2296"/>
        <w:gridCol w:w="2296"/>
        <w:gridCol w:w="2296"/>
      </w:tblGrid>
      <w:tr>
        <w:trPr>
          <w:tblHeader/>
        </w:trPr>
        <w:tc>
          <w:tcPr>
            <w:tcW w:type="dxa" w:w="229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子项目</w:t>
            </w:r>
          </w:p>
        </w:tc>
        <w:tc>
          <w:tcPr>
            <w:tcW w:type="dxa" w:w="229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规格</w:t>
            </w:r>
          </w:p>
        </w:tc>
        <w:tc>
          <w:tcPr>
            <w:tcW w:type="dxa" w:w="229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投资（估算）</w:t>
            </w:r>
          </w:p>
        </w:tc>
        <w:tc>
          <w:tcPr>
            <w:tcW w:type="dxa" w:w="2296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功能定位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主题乐园楼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1.5 万㎡（室内）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1.8 亿元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全年运营载体，解决天气约束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过山车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常规升级级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0.4 亿元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拉新点与传播素材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水景翻新优化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园区水系 + 夜场内容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0.3 亿元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延长停留时长、带动二消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建设期费用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设计 / 监理 / 预备费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0.4 亿元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—</w:t>
            </w:r>
          </w:p>
        </w:tc>
      </w:tr>
      <w:tr>
        <w:trPr>
          <w:tblHeader w:val="off"/>
        </w:trPr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合计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—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2.9 亿元</w:t>
            </w:r>
          </w:p>
        </w:tc>
        <w:tc>
          <w:tcPr>
            <w:tcW w:type="dxa" w:w="229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spacing w:after="60"/>
      </w:pP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造价为行业公开经验区间估算，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非造价清单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；待设计方案确定后以设计院清单替换。</w:t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pStyle w:val="Heading1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五、财务推演</w:t>
      </w:r>
    </w:p>
    <w:p>
      <w:pPr>
        <w:pStyle w:val="Heading2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5.1 三个改善杠杆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3061"/>
        <w:gridCol w:w="3061"/>
        <w:gridCol w:w="3061"/>
      </w:tblGrid>
      <w:tr>
        <w:trPr>
          <w:tblHeader/>
        </w:trPr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杠杆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现状 → 目标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对应项目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客单价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100 元 → 150 元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新项目价值感 + 片区第一定价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二消占比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27% → 40%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室内乐园楼 + 水景夜场延长停留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复购（年卡）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&lt;10% → 20%+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片区高频定位 + 会员体系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pStyle w:val="Heading2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5.2　三档回收推演（估算 · 投产满产口径）</w:t>
      </w:r>
    </w:p>
    <w:p>
      <w:pPr>
        <w:spacing w:after="60"/>
      </w:pP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口径提示：下表回收期为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投产满产口径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（不含建设期与爬坡）。从立项之日算起的完整回收期约 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6.9 年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（中性情景），股东自有资金回正约 7–8 年。详见《财务模型明细.md》。</w:t>
      </w:r>
    </w:p>
    <w:p>
      <w:pPr>
        <w:spacing w:after="60"/>
      </w:pP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关键线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：年增量营收 ≥ 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0.70 亿元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 才够安全覆盖贷款本息（DSCR ≥ 1.2）。中性情景 1.90 亿（安全垫 2.7 倍）；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保守情景 0.64 亿——已跌破该线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。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312"/>
        <w:gridCol w:w="1312"/>
        <w:gridCol w:w="1312"/>
        <w:gridCol w:w="1312"/>
        <w:gridCol w:w="1312"/>
        <w:gridCol w:w="1312"/>
        <w:gridCol w:w="1312"/>
      </w:tblGrid>
      <w:tr>
        <w:trPr>
          <w:tblHeader/>
        </w:trPr>
        <w:tc>
          <w:tcPr>
            <w:tcW w:type="dxa" w:w="131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情景</w:t>
            </w:r>
          </w:p>
        </w:tc>
        <w:tc>
          <w:tcPr>
            <w:tcW w:type="dxa" w:w="131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扩建后客流</w:t>
            </w:r>
          </w:p>
        </w:tc>
        <w:tc>
          <w:tcPr>
            <w:tcW w:type="dxa" w:w="131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客单价</w:t>
            </w:r>
          </w:p>
        </w:tc>
        <w:tc>
          <w:tcPr>
            <w:tcW w:type="dxa" w:w="131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年营收</w:t>
            </w:r>
          </w:p>
        </w:tc>
        <w:tc>
          <w:tcPr>
            <w:tcW w:type="dxa" w:w="131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增量 EBITDA</w:t>
            </w:r>
          </w:p>
        </w:tc>
        <w:tc>
          <w:tcPr>
            <w:tcW w:type="dxa" w:w="131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静态回收期</w:t>
            </w:r>
          </w:p>
        </w:tc>
        <w:tc>
          <w:tcPr>
            <w:tcW w:type="dxa" w:w="131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DSCR</w:t>
            </w:r>
          </w:p>
        </w:tc>
      </w:tr>
      <w:tr>
        <w:trPr>
          <w:tblHeader w:val="off"/>
        </w:trPr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保守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220 万（+10%）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120 元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2.64 亿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0.22 亿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≈ 13 年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1.09（紧）</w:t>
            </w:r>
          </w:p>
        </w:tc>
      </w:tr>
      <w:tr>
        <w:trPr>
          <w:tblHeader w:val="off"/>
        </w:trPr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中性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260 万（+30%）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150 元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3.90 亿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0.67 亿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≈ 4.3 年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3.2（健康）</w:t>
            </w:r>
          </w:p>
        </w:tc>
      </w:tr>
      <w:tr>
        <w:trPr>
          <w:tblHeader w:val="off"/>
        </w:trPr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乐观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300 万（+50%）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170 元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5.10 亿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1.09 亿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≈ 2.7 年</w:t>
            </w:r>
          </w:p>
        </w:tc>
        <w:tc>
          <w:tcPr>
            <w:tcW w:type="dxa" w:w="131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5.3（优）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pStyle w:val="Heading2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5.3 资金来源与偿债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4592"/>
        <w:gridCol w:w="4592"/>
      </w:tblGrid>
      <w:tr>
        <w:trPr>
          <w:tblHeader/>
        </w:trPr>
        <w:tc>
          <w:tcPr>
            <w:tcW w:type="dxa" w:w="459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项</w:t>
            </w:r>
          </w:p>
        </w:tc>
        <w:tc>
          <w:tcPr>
            <w:tcW w:type="dxa" w:w="4592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金额 / 条件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自有资金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1.5 亿元（52%）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银行贷款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1.4 亿元（48%），争取 8–10 年期、利率 4%–4.5%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年还本付息（估）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约 2050 万元</w:t>
            </w:r>
          </w:p>
        </w:tc>
      </w:tr>
      <w:tr>
        <w:trPr>
          <w:tblHeader w:val="off"/>
        </w:trPr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DSCR（中性 / 乐观）</w:t>
            </w:r>
          </w:p>
        </w:tc>
        <w:tc>
          <w:tcPr>
            <w:tcW w:type="dxa" w:w="4592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3.2 / 5.3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pStyle w:val="Heading2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5.4 里程碑（以立项通过为 T0）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3061"/>
        <w:gridCol w:w="3061"/>
        <w:gridCol w:w="3061"/>
      </w:tblGrid>
      <w:tr>
        <w:trPr>
          <w:tblHeader/>
        </w:trPr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节点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时间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目标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T0–T6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立项 → 设计招标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审批完成、设计定稿、施工招标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T6–T18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施工建设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建议按 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水景 → 乐园楼 → 过山车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 顺序推进，尽早部分开放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T18–T24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试运营 → 开业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客流 260 万、二消占比 40%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T24–T36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稳定运营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年卡占比 20%+，进入正常回收轨道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pStyle w:val="Heading1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六、组织与实施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3061"/>
        <w:gridCol w:w="3061"/>
        <w:gridCol w:w="3061"/>
      </w:tblGrid>
      <w:tr>
        <w:trPr>
          <w:tblHeader/>
        </w:trPr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缺口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时间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安排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建设项目负责人（工程 / 设备）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立项后立即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项目周期制引入；固定总价合同 + 分阶段验收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内容 / 演艺负责人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施工中期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现金聘任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市场负责人（本地生活 / 会员）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开业前 6 个月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现金聘任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二消招商 / 运营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开业前 6 个月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现金聘任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spacing w:after="130"/>
      </w:pP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组织前提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：现有团队为运营力量，3 亿元建设工程须由外部力量承接；团队建设重点在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外包管理与验收能力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。</w:t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pStyle w:val="Heading1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七、风险与应对</w:t>
      </w:r>
    </w:p>
    <w:tbl>
      <w:tblPr>
        <w:tblW w:type="dxa" w:w="9184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3061"/>
        <w:gridCol w:w="3061"/>
        <w:gridCol w:w="3061"/>
      </w:tblGrid>
      <w:tr>
        <w:trPr>
          <w:tblHeader/>
        </w:trPr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风险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影响</w:t>
            </w:r>
          </w:p>
        </w:tc>
        <w:tc>
          <w:tcPr>
            <w:tcW w:type="dxa" w:w="3061"/>
            <w:shd w:val="clear" w:color="auto" w:fill="E8EDF4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应对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建设期超支 / 延期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投资上浮、错过开业窗口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固定总价合同 + 预备费；分阶段验收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客流不及预期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保守情景回收期 13 年、DSCR 1.09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立项前完成验证；预留分阶段投资空间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二消提升不达标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财务模型核心假设失效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验证先行；招商与运营前置介入设计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头部竞品反应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价格战或分流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守住"片区便利 + 高频"，不做设备军备竞赛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审批 / 政策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工期延误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提前沟通主管部门，争取纳入文旅重点项目</w:t>
            </w:r>
          </w:p>
        </w:tc>
      </w:tr>
      <w:tr>
        <w:trPr>
          <w:tblHeader w:val="off"/>
        </w:trPr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特种设备安全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安全事故 = 经营中断</w:t>
            </w:r>
          </w:p>
        </w:tc>
        <w:tc>
          <w:tcPr>
            <w:tcW w:type="dxa" w:w="3061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合规选型、持证运维、保险覆盖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 w:eastAsia="宋体"/>
          <w:sz w:val="18"/>
          <w:szCs w:val="18"/>
          <w:color w:val="000000"/>
        </w:rPr>
        <w:t xml:space="preserve"/>
      </w:r>
    </w:p>
    <w:p>
      <w:pPr>
        <w:spacing w:after="130"/>
      </w:pP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风险总纲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：本项目的可行性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高度依赖"客单价 + 二消"的提升，而非客流增长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。保守情景下现金流仅能勉强覆盖贷款——这是本方案最需要正视的一点。</w:t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pStyle w:val="Heading1"/>
        <w:spacing w:after="120" w:before="26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八、立项建议（提请股东决策事项）</w:t>
      </w:r>
    </w:p>
    <w:p>
      <w:pPr>
        <w:spacing w:after="80"/>
        <w:ind w:left="340"/>
      </w:pP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1. 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批准项目总投资 2.9 亿元与资金结构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（自有 1.5 亿 + 贷款 1.4 亿）。</w:t>
      </w:r>
    </w:p>
    <w:p>
      <w:pPr>
        <w:spacing w:after="80"/>
        <w:ind w:left="340"/>
      </w:pP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2. 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批准立项前启动三项小成本验证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（年卡付费意愿 / 夜场增量 / 二消提升空间），以实证支撑最终决策。</w:t>
      </w:r>
    </w:p>
    <w:p>
      <w:pPr>
        <w:spacing w:after="80"/>
        <w:ind w:left="340"/>
      </w:pP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3. 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授权组建建设班子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，启动设计招标与造价清单编制。</w:t>
      </w:r>
    </w:p>
    <w:p>
      <w:pPr>
        <w:spacing w:after="80"/>
        <w:ind w:left="340"/>
      </w:pP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4. </w:t>
      </w:r>
      <w:r>
        <w:rPr>
          <w:rFonts w:ascii="Times New Roman" w:eastAsia="宋体" w:hAnsi="Times New Roman" w:cs="Times New Roman"/>
          <w:b/>
          <w:bCs/>
          <w:sz w:val="21"/>
          <w:szCs w:val="21"/>
          <w:color w:val="000000"/>
        </w:rPr>
        <w:t xml:space="preserve">确认用地与审批路径</w:t>
      </w:r>
      <w:r>
        <w:rPr>
          <w:rFonts w:ascii="Times New Roman" w:eastAsia="宋体" w:hAnsi="Times New Roman" w:cs="Times New Roman"/>
          <w:b w:val="false"/>
          <w:bCs w:val="false"/>
          <w:sz w:val="21"/>
          <w:szCs w:val="21"/>
          <w:color w:val="000000"/>
        </w:rPr>
        <w:t xml:space="preserve">（园内自有空地加建所需的规划、消防、特种设备等手续）。</w:t>
      </w:r>
    </w:p>
    <w:p>
      <w:pPr>
        <w:pBdr>
          <w:bottom w:val="single" w:color="999999" w:sz="6"/>
        </w:pBdr>
        <w:spacing w:after="100"/>
      </w:pPr>
      <w:r>
        <w:rPr>
          <w:rFonts w:ascii="Times New Roman" w:hAnsi="Times New Roman" w:cs="Times New Roman" w:eastAsia="宋体"/>
          <w:sz w:val="21"/>
          <w:szCs w:val="21"/>
          <w:color w:val="000000"/>
        </w:rPr>
        <w:t xml:space="preserve"/>
      </w:r>
    </w:p>
    <w:p>
      <w:pPr>
        <w:spacing w:after="60"/>
      </w:pP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能力边界提示</w:t>
      </w:r>
      <w:r>
        <w:rPr>
          <w:rFonts w:ascii="Times New Roman" w:eastAsia="宋体" w:hAnsi="Times New Roman" w:cs="Times New Roman"/>
          <w:sz w:val="18"/>
          <w:szCs w:val="18"/>
          <w:color w:val="000000"/>
        </w:rPr>
        <w:t xml:space="preserve">：本方案为商业推演框架。涉及贷款合同、担保安排、公司治理、税务处理及特种设备合规等内容，正式文件需由律师事务所、会计师事务所等专业机构审阅。本方案不构成法律、财税或投资意见。</w:t>
      </w:r>
    </w:p>
    <w:sectPr>
      <w:headerReference w:type="default" r:id="rId8"/>
      <w:footerReference w:type="default" r:id="rId9"/>
      <w:pgSz w:w="11906" w:h="16838" w:orient="portrait"/>
      <w:pgMar w:top="1247" w:right="1361" w:bottom="1247" w:left="1361" w:header="68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第 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begin"/>
    </w:r>
    <w:r>
      <w:rPr>
        <w:rFonts w:ascii="Times New Roman" w:hAnsi="Times New Roman" w:cs="Times New Roman" w:eastAsia="微软雅黑"/>
        <w:sz w:val="18"/>
        <w:szCs w:val="18"/>
        <w:color w:val="000000"/>
      </w:rPr>
      <w:instrText xml:space="preserve"> PAGE </w:instrTex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separate"/>
    </w:r>
    <w:r>
      <w:rPr>
        <w:rFonts w:ascii="Times New Roman" w:hAnsi="Times New Roman" w:cs="Times New Roman" w:eastAsia="微软雅黑"/>
        <w:sz w:val="18"/>
        <w:szCs w:val="18"/>
        <w:color w:val="000000"/>
      </w:rPr>
      <w:t>1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end"/>
    </w: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 页 / 共 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begin"/>
    </w:r>
    <w:r>
      <w:rPr>
        <w:rFonts w:ascii="Times New Roman" w:hAnsi="Times New Roman" w:cs="Times New Roman" w:eastAsia="微软雅黑"/>
        <w:sz w:val="18"/>
        <w:szCs w:val="18"/>
        <w:color w:val="000000"/>
      </w:rPr>
      <w:instrText xml:space="preserve"> NUMPAGES </w:instrTex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separate"/>
    </w:r>
    <w:r>
      <w:rPr>
        <w:rFonts w:ascii="Times New Roman" w:hAnsi="Times New Roman" w:cs="Times New Roman" w:eastAsia="微软雅黑"/>
        <w:sz w:val="18"/>
        <w:szCs w:val="18"/>
        <w:color w:val="000000"/>
      </w:rPr>
      <w:t>1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end"/>
    </w: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6" w:space="1" w:color="999999"/>
      </w:pBdr>
      <w:pStyle w:val="Header"/>
      <w:tabs>
        <w:tab w:val="right" w:pos="9184"/>
      </w:tabs>
    </w:pP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重庆游乐园扩建项目 · 商业方案重庆游乐园扩建项目 · 商业方案重庆游乐园扩建项目 · 商业方案</w:t>
    </w:r>
    <w:r>
      <w:rPr>
        <w:rFonts w:ascii="Times New Roman" w:hAnsi="Times New Roman" w:cs="Times New Roman" w:eastAsia="微软雅黑"/>
        <w:sz w:val="18"/>
        <w:szCs w:val="18"/>
        <w:color w:val="000000"/>
      </w:rPr>
      <w:tab/>
      <w:t xml:space="preserve">内部资料 · 请勿外传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sz w:val="21"/>
        <w:szCs w:val="21"/>
      </w:rPr>
    </w:rPrDefault>
    <w:pPrDefault>
      <w:pPr>
        <w:spacing w:after="120" w:line="360" w:lineRule="auto"/>
      </w:pPr>
    </w:pPrDefault>
  </w:docDefaults>
  <w:style w:type="paragraph" w:styleId="Normal" w:default="1">
    <w:pPr>
      <w:spacing w:before="0" w:after="120" w:line="360" w:lineRule="auto"/>
      <w:outlineLvl w:val="9"/>
    </w:pPr>
    <w:name w:val="Normal"/>
    <w:qFormat/>
    <w:rPr>
      <w:rFonts w:ascii="Times New Roman" w:hAnsi="Times New Roman" w:cs="Times New Roman" w:eastAsia="宋体"/>
      <w:sz w:val="21"/>
      <w:szCs w:val="21"/>
      <w:color w:val="000000"/>
    </w:rPr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pPr>
      <w:spacing w:before="0" w:after="240" w:line="276" w:lineRule="auto"/>
      <w:outlineLvl w:val="0"/>
    </w:pPr>
    <w:name w:val="Title"/>
    <w:basedOn w:val="Normal"/>
    <w:next w:val="Normal"/>
    <w:qFormat/>
    <w:rPr>
      <w:rFonts w:ascii="Times New Roman" w:hAnsi="Times New Roman" w:cs="Times New Roman" w:eastAsia="微软雅黑"/>
      <w:sz w:val="44"/>
      <w:szCs w:val="44"/>
      <w:color w:val="000000"/>
      <w:b w:val="1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pPr>
      <w:spacing w:before="0" w:after="120" w:line="360" w:lineRule="auto"/>
      <w:outlineLvl w:val="9"/>
    </w:pPr>
    <w:name w:val="List Paragraph"/>
    <w:basedOn w:val="Normal"/>
    <w:qFormat/>
    <w:rPr>
      <w:rFonts w:ascii="Times New Roman" w:hAnsi="Times New Roman" w:cs="Times New Roman" w:eastAsia="宋体"/>
      <w:sz w:val="21"/>
      <w:szCs w:val="21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0000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Heading1">
    <w:pPr>
      <w:spacing w:before="280" w:after="120" w:line="300" w:lineRule="auto"/>
      <w:outlineLvl w:val="0"/>
    </w:pPr>
    <w:name w:val="heading 1"/>
    <w:rPr>
      <w:rFonts w:ascii="Times New Roman" w:hAnsi="Times New Roman" w:cs="Times New Roman" w:eastAsia="微软雅黑"/>
      <w:sz w:val="32"/>
      <w:szCs w:val="32"/>
      <w:color w:val="000000"/>
      <w:b w:val="1"/>
    </w:rPr>
  </w:style>
  <w:style w:type="paragraph" w:customStyle="1" w:styleId="Heading2">
    <w:pPr>
      <w:spacing w:before="220" w:after="100" w:line="300" w:lineRule="auto"/>
      <w:outlineLvl w:val="1"/>
    </w:pPr>
    <w:name w:val="heading 2"/>
    <w:rPr>
      <w:rFonts w:ascii="Times New Roman" w:hAnsi="Times New Roman" w:cs="Times New Roman" w:eastAsia="微软雅黑"/>
      <w:sz w:val="28"/>
      <w:szCs w:val="28"/>
      <w:color w:val="000000"/>
      <w:b w:val="1"/>
    </w:rPr>
  </w:style>
  <w:style w:type="paragraph" w:customStyle="1" w:styleId="Heading3">
    <w:pPr>
      <w:spacing w:before="160" w:after="80" w:line="300" w:lineRule="auto"/>
      <w:outlineLvl w:val="2"/>
    </w:pPr>
    <w:name w:val="heading 3"/>
    <w:rPr>
      <w:rFonts w:ascii="Times New Roman" w:hAnsi="Times New Roman" w:cs="Times New Roman" w:eastAsia="微软雅黑"/>
      <w:sz w:val="24"/>
      <w:szCs w:val="24"/>
      <w:color w:val="000000"/>
      <w:b w:val="1"/>
    </w:rPr>
  </w:style>
  <w:style w:type="paragraph" w:customStyle="1" w:styleId="Heading4">
    <w:pPr>
      <w:spacing w:before="120" w:after="60" w:line="300" w:lineRule="auto"/>
      <w:outlineLvl w:val="3"/>
    </w:pPr>
    <w:name w:val="heading 4"/>
    <w:rPr>
      <w:rFonts w:ascii="Times New Roman" w:hAnsi="Times New Roman" w:cs="Times New Roman" w:eastAsia="微软雅黑"/>
      <w:sz w:val="21"/>
      <w:szCs w:val="21"/>
      <w:color w:val="000000"/>
      <w:b w:val="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2026-10-10T08:45:52.221Z</dcterms:created>
  <dcterms:modified xsi:type="dcterms:W3CDTF">2026-10-10T08:45:52.221Z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