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Times New Roman" w:eastAsia="宋体" w:hAnsi="Times New Roman" w:cs="Times New Roman"/>
          <w:b/>
          <w:bCs/>
          <w:color w:val="000000"/>
          <w:sz w:val="21"/>
          <w:szCs w:val="21"/>
        </w:rPr>
        <w:t xml:space="preserve">游乐场 10 月推广与预算报告</w:t>
      </w:r>
    </w:p>
    <w:p>
      <w:pPr>
        <w:spacing w:after="260"/>
        <w:jc w:val="center"/>
      </w:pPr>
      <w:r>
        <w:rPr>
          <w:rFonts w:ascii="Times New Roman" w:eastAsia="宋体" w:hAnsi="Times New Roman" w:cs="Times New Roman"/>
          <w:color w:val="000000"/>
          <w:sz w:val="18"/>
          <w:szCs w:val="18"/>
        </w:rPr>
        <w:t xml:space="preserve">万圣节周期 ｜ 含审核层与执行层两层</w:t>
      </w:r>
    </w:p>
    <w:tbl>
      <w:tblPr>
        <w:tblW w:type="dxa" w:w="9184"/>
        <w:tblLayout w:type="autofit"/>
        <w:tblLook w:firstColumn="1" w:firstRow="1" w:lastColumn="0" w:lastRow="0" w:noHBand="0" w:noVBand="1" w:val="04A0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top w:w="40" w:type="dxa"/>
          <w:left w:w="108" w:type="dxa"/>
          <w:bottom w:w="40" w:type="dxa"/>
          <w:right w:w="108" w:type="dxa"/>
        </w:tblCellMar>
      </w:tblPr>
      <w:tblGrid>
        <w:gridCol w:w="2296"/>
        <w:gridCol w:w="2296"/>
        <w:gridCol w:w="2296"/>
        <w:gridCol w:w="2296"/>
      </w:tblGrid>
      <w:tr>
        <w:tc>
          <w:tcPr>
            <w:tcW w:type="dxa" w:w="2296"/>
            <w:shd w:val="clear" w:color="auto" w:fill="E8EDF4"/>
          </w:tcPr>
          <w:p>
            <w:pPr>
              <w:spacing w:before="0" w:after="20"/>
            </w:pPr>
            <w:r>
              <w:rPr>
                <w:rFonts w:ascii="Times New Roman" w:hAnsi="Times New Roman" w:cs="Times New Roman" w:eastAsia="宋体"/>
                <w:sz w:val="18"/>
                <w:szCs w:val="18"/>
                <w:color w:val="000000"/>
              </w:rPr>
            </w:r>
            <w:r>
              <w:rPr>
                <w:rFonts w:ascii="Times New Roman" w:hAnsi="Times New Roman" w:eastAsia="宋体" w:cs="Times New Roman"/>
                <w:b w:val="1"/>
                <w:color w:val="000000"/>
                <w:sz w:val="18"/>
                <w:szCs w:val="18"/>
              </w:rPr>
              <w:t>文档名称</w:t>
            </w:r>
          </w:p>
        </w:tc>
        <w:tc>
          <w:tcPr>
            <w:tcW w:type="dxa" w:w="6888"/>
            <w:gridSpan w:val="3"/>
            <w:shd w:val="clear" w:color="auto" w:fill="E8EDF4"/>
          </w:tcPr>
          <w:p>
            <w:pPr>
              <w:spacing w:before="20" w:after="20"/>
            </w:pPr>
            <w:r>
              <w:rPr>
                <w:rFonts w:ascii="Times New Roman" w:hAnsi="Times New Roman" w:cs="Times New Roman" w:eastAsia="宋体"/>
                <w:sz w:val="18"/>
                <w:szCs w:val="18"/>
                <w:color w:val="000000"/>
              </w:rPr>
            </w:r>
            <w:r>
              <w:rPr>
                <w:rFonts w:ascii="Times New Roman" w:hAnsi="Times New Roman" w:eastAsia="宋体" w:cs="Times New Roman"/>
                <w:sz w:val="18"/>
                <w:szCs w:val="18"/>
                <w:color w:val="000000"/>
              </w:rPr>
              <w:t>游乐场 10 月推广与预算报告</w:t>
            </w:r>
          </w:p>
        </w:tc>
      </w:tr>
      <w:tr>
        <w:tc>
          <w:tcPr>
            <w:tcW w:type="dxa" w:w="2296"/>
          </w:tcPr>
          <w:p>
            <w:pPr>
              <w:spacing w:before="20" w:after="20"/>
            </w:pPr>
            <w:r>
              <w:rPr>
                <w:rFonts w:ascii="Times New Roman" w:hAnsi="Times New Roman" w:cs="Times New Roman" w:eastAsia="宋体"/>
                <w:sz w:val="18"/>
                <w:szCs w:val="18"/>
                <w:color w:val="000000"/>
              </w:rPr>
            </w:r>
            <w:r>
              <w:rPr>
                <w:rFonts w:ascii="Times New Roman" w:hAnsi="Times New Roman" w:eastAsia="宋体" w:cs="Times New Roman"/>
                <w:b w:val="1"/>
                <w:color w:val="000000"/>
                <w:sz w:val="18"/>
                <w:szCs w:val="18"/>
              </w:rPr>
              <w:t>适用范围</w:t>
            </w:r>
          </w:p>
        </w:tc>
        <w:tc>
          <w:tcPr>
            <w:tcW w:type="dxa" w:w="2296"/>
          </w:tcPr>
          <w:p>
            <w:pPr>
              <w:spacing w:before="20" w:after="20"/>
            </w:pPr>
            <w:r>
              <w:rPr>
                <w:rFonts w:ascii="Times New Roman" w:hAnsi="Times New Roman" w:cs="Times New Roman" w:eastAsia="宋体"/>
                <w:sz w:val="18"/>
                <w:szCs w:val="18"/>
                <w:color w:val="000000"/>
              </w:rPr>
            </w:r>
            <w:r>
              <w:rPr>
                <w:rFonts w:ascii="Times New Roman" w:hAnsi="Times New Roman" w:eastAsia="宋体" w:cs="Times New Roman"/>
                <w:sz w:val="18"/>
                <w:szCs w:val="18"/>
                <w:color w:val="000000"/>
              </w:rPr>
              <w:t>10 月 1 日 – 10 月 31 日</w:t>
            </w:r>
          </w:p>
        </w:tc>
        <w:tc>
          <w:tcPr>
            <w:tcW w:type="dxa" w:w="2296"/>
          </w:tcPr>
          <w:p>
            <w:pPr>
              <w:spacing w:before="20" w:after="20"/>
            </w:pPr>
            <w:r>
              <w:rPr>
                <w:rFonts w:ascii="Times New Roman" w:hAnsi="Times New Roman" w:cs="Times New Roman" w:eastAsia="宋体"/>
                <w:sz w:val="18"/>
                <w:szCs w:val="18"/>
                <w:color w:val="000000"/>
              </w:rPr>
            </w:r>
            <w:r>
              <w:rPr>
                <w:rFonts w:ascii="Times New Roman" w:hAnsi="Times New Roman" w:eastAsia="宋体" w:cs="Times New Roman"/>
                <w:b w:val="1"/>
                <w:color w:val="000000"/>
                <w:sz w:val="18"/>
                <w:szCs w:val="18"/>
              </w:rPr>
              <w:t>版本</w:t>
            </w:r>
          </w:p>
        </w:tc>
        <w:tc>
          <w:tcPr>
            <w:tcW w:type="dxa" w:w="2296"/>
          </w:tcPr>
          <w:p>
            <w:pPr>
              <w:spacing w:before="20" w:after="20"/>
            </w:pPr>
            <w:r>
              <w:rPr>
                <w:rFonts w:ascii="Times New Roman" w:hAnsi="Times New Roman" w:cs="Times New Roman" w:eastAsia="宋体"/>
                <w:sz w:val="18"/>
                <w:szCs w:val="18"/>
                <w:color w:val="000000"/>
              </w:rPr>
            </w:r>
            <w:r>
              <w:rPr>
                <w:rFonts w:ascii="Times New Roman" w:hAnsi="Times New Roman" w:eastAsia="宋体" w:cs="Times New Roman"/>
                <w:sz w:val="18"/>
                <w:szCs w:val="18"/>
                <w:color w:val="000000"/>
              </w:rPr>
              <w:t>V1.2</w:t>
            </w:r>
          </w:p>
        </w:tc>
      </w:tr>
      <w:tr>
        <w:tc>
          <w:tcPr>
            <w:tcW w:type="dxa" w:w="2296"/>
          </w:tcPr>
          <w:p>
            <w:pPr>
              <w:spacing w:before="20" w:after="20"/>
            </w:pPr>
            <w:r>
              <w:rPr>
                <w:rFonts w:ascii="Times New Roman" w:hAnsi="Times New Roman" w:cs="Times New Roman" w:eastAsia="宋体"/>
                <w:sz w:val="18"/>
                <w:szCs w:val="18"/>
                <w:color w:val="000000"/>
              </w:rPr>
            </w:r>
            <w:r>
              <w:rPr>
                <w:rFonts w:ascii="Times New Roman" w:hAnsi="Times New Roman" w:eastAsia="宋体" w:cs="Times New Roman"/>
                <w:b w:val="1"/>
                <w:color w:val="000000"/>
                <w:sz w:val="18"/>
                <w:szCs w:val="18"/>
              </w:rPr>
              <w:t>编制</w:t>
            </w:r>
          </w:p>
        </w:tc>
        <w:tc>
          <w:tcPr>
            <w:tcW w:type="dxa" w:w="2296"/>
          </w:tcPr>
          <w:p>
            <w:pPr>
              <w:spacing w:before="20" w:after="20"/>
            </w:pPr>
            <w:r>
              <w:rPr>
                <w:rFonts w:ascii="Times New Roman" w:hAnsi="Times New Roman" w:cs="Times New Roman" w:eastAsia="宋体"/>
                <w:sz w:val="18"/>
                <w:szCs w:val="18"/>
                <w:color w:val="000000"/>
              </w:rPr>
            </w:r>
            <w:r>
              <w:rPr>
                <w:rFonts w:ascii="Times New Roman" w:hAnsi="Times New Roman" w:eastAsia="宋体" w:cs="Times New Roman"/>
                <w:sz w:val="18"/>
                <w:szCs w:val="18"/>
                <w:color w:val="000000"/>
              </w:rPr>
              <w:t>商业规划（代拟）</w:t>
            </w:r>
          </w:p>
        </w:tc>
        <w:tc>
          <w:tcPr>
            <w:tcW w:type="dxa" w:w="2296"/>
          </w:tcPr>
          <w:p>
            <w:pPr>
              <w:spacing w:before="20" w:after="20"/>
            </w:pPr>
            <w:r>
              <w:rPr>
                <w:rFonts w:ascii="Times New Roman" w:hAnsi="Times New Roman" w:cs="Times New Roman" w:eastAsia="宋体"/>
                <w:sz w:val="18"/>
                <w:szCs w:val="18"/>
                <w:color w:val="000000"/>
              </w:rPr>
            </w:r>
            <w:r>
              <w:rPr>
                <w:rFonts w:ascii="Times New Roman" w:hAnsi="Times New Roman" w:eastAsia="宋体" w:cs="Times New Roman"/>
                <w:b w:val="1"/>
                <w:color w:val="000000"/>
                <w:sz w:val="18"/>
                <w:szCs w:val="18"/>
              </w:rPr>
              <w:t>编制日期</w:t>
            </w:r>
          </w:p>
        </w:tc>
        <w:tc>
          <w:tcPr>
            <w:tcW w:type="dxa" w:w="2296"/>
          </w:tcPr>
          <w:p>
            <w:pPr>
              <w:spacing w:before="20" w:after="20"/>
            </w:pPr>
            <w:r>
              <w:rPr>
                <w:rFonts w:ascii="Times New Roman" w:hAnsi="Times New Roman" w:cs="Times New Roman" w:eastAsia="宋体"/>
                <w:sz w:val="18"/>
                <w:szCs w:val="18"/>
                <w:color w:val="000000"/>
              </w:rPr>
            </w:r>
            <w:r>
              <w:rPr>
                <w:rFonts w:ascii="Times New Roman" w:hAnsi="Times New Roman" w:eastAsia="宋体" w:cs="Times New Roman"/>
                <w:sz w:val="18"/>
                <w:szCs w:val="18"/>
                <w:color w:val="000000"/>
              </w:rPr>
              <w:t>2026-10-11</w:t>
            </w:r>
          </w:p>
        </w:tc>
      </w:tr>
      <w:tr>
        <w:tc>
          <w:tcPr>
            <w:tcW w:type="dxa" w:w="2296"/>
          </w:tcPr>
          <w:p>
            <w:pPr>
              <w:spacing w:before="20" w:after="20"/>
            </w:pPr>
            <w:r>
              <w:rPr>
                <w:rFonts w:ascii="Times New Roman" w:hAnsi="Times New Roman" w:cs="Times New Roman" w:eastAsia="宋体"/>
                <w:sz w:val="18"/>
                <w:szCs w:val="18"/>
                <w:color w:val="000000"/>
              </w:rPr>
            </w:r>
            <w:r>
              <w:rPr>
                <w:rFonts w:ascii="Times New Roman" w:hAnsi="Times New Roman" w:eastAsia="宋体" w:cs="Times New Roman"/>
                <w:b w:val="1"/>
                <w:color w:val="000000"/>
                <w:sz w:val="18"/>
                <w:szCs w:val="18"/>
              </w:rPr>
              <w:t>密级</w:t>
            </w:r>
          </w:p>
        </w:tc>
        <w:tc>
          <w:tcPr>
            <w:tcW w:type="dxa" w:w="2296"/>
          </w:tcPr>
          <w:p>
            <w:pPr>
              <w:spacing w:before="20" w:after="20"/>
            </w:pPr>
            <w:r>
              <w:rPr>
                <w:rFonts w:ascii="Times New Roman" w:hAnsi="Times New Roman" w:cs="Times New Roman" w:eastAsia="宋体"/>
                <w:sz w:val="18"/>
                <w:szCs w:val="18"/>
                <w:color w:val="000000"/>
              </w:rPr>
            </w:r>
            <w:r>
              <w:rPr>
                <w:rFonts w:ascii="Times New Roman" w:hAnsi="Times New Roman" w:eastAsia="宋体" w:cs="Times New Roman"/>
                <w:sz w:val="18"/>
                <w:szCs w:val="18"/>
                <w:color w:val="000000"/>
              </w:rPr>
              <w:t>内部资料 · 请勿外传</w:t>
            </w:r>
          </w:p>
        </w:tc>
        <w:tc>
          <w:tcPr>
            <w:tcW w:type="dxa" w:w="2296"/>
          </w:tcPr>
          <w:p>
            <w:pPr>
              <w:spacing w:before="20" w:after="20"/>
            </w:pPr>
            <w:r>
              <w:rPr>
                <w:rFonts w:ascii="Times New Roman" w:hAnsi="Times New Roman" w:cs="Times New Roman" w:eastAsia="宋体"/>
                <w:sz w:val="18"/>
                <w:szCs w:val="18"/>
                <w:color w:val="000000"/>
              </w:rPr>
            </w:r>
            <w:r>
              <w:rPr>
                <w:rFonts w:ascii="Times New Roman" w:hAnsi="Times New Roman" w:eastAsia="宋体" w:cs="Times New Roman"/>
                <w:b w:val="1"/>
                <w:color w:val="000000"/>
                <w:sz w:val="18"/>
                <w:szCs w:val="18"/>
              </w:rPr>
              <w:t>状态</w:t>
            </w:r>
          </w:p>
        </w:tc>
        <w:tc>
          <w:tcPr>
            <w:tcW w:type="dxa" w:w="2296"/>
          </w:tcPr>
          <w:p>
            <w:pPr>
              <w:spacing w:before="20" w:after="20"/>
            </w:pPr>
            <w:r>
              <w:rPr>
                <w:rFonts w:ascii="Times New Roman" w:hAnsi="Times New Roman" w:cs="Times New Roman" w:eastAsia="宋体"/>
                <w:sz w:val="18"/>
                <w:szCs w:val="18"/>
                <w:color w:val="000000"/>
              </w:rPr>
            </w:r>
            <w:r>
              <w:rPr>
                <w:rFonts w:ascii="Times New Roman" w:hAnsi="Times New Roman" w:eastAsia="宋体" w:cs="Times New Roman"/>
                <w:sz w:val="18"/>
                <w:szCs w:val="18"/>
                <w:color w:val="000000"/>
              </w:rPr>
              <w:t>待审核（预算档位与 ROI 口径待定）</w:t>
            </w:r>
          </w:p>
        </w:tc>
      </w:tr>
    </w:tbl>
    <w:p>
      <w:pPr>
        <w:pStyle w:val="Heading1"/>
        <w:pBdr>
          <w:bottom w:val="single" w:color="999999" w:sz="6" w:space="4"/>
        </w:pBdr>
        <w:spacing w:after="140" w:before="320"/>
      </w:pPr>
      <w:r>
        <w:rPr>
          <w:rFonts w:ascii="Times New Roman" w:eastAsia="微软雅黑" w:hAnsi="Times New Roman" w:cs="Times New Roman"/>
          <w:b w:val="1"/>
          <w:bCs/>
          <w:color w:val="000000"/>
          <w:sz w:val="32"/>
          <w:szCs w:val="32"/>
        </w:rPr>
        <w:t xml:space="preserve">第一篇 · 审核层</w:t>
      </w:r>
    </w:p>
    <w:p>
      <w:pPr>
        <w:pStyle w:val="Heading2"/>
        <w:spacing w:after="80" w:before="220"/>
      </w:pPr>
      <w:r>
        <w:rPr>
          <w:rFonts w:ascii="Times New Roman" w:eastAsia="微软雅黑" w:hAnsi="Times New Roman" w:cs="Times New Roman"/>
          <w:b w:val="1"/>
          <w:bCs/>
          <w:color w:val="000000"/>
          <w:sz w:val="28"/>
          <w:szCs w:val="28"/>
        </w:rPr>
        <w:t xml:space="preserve">一、报告说明</w:t>
      </w:r>
    </w:p>
    <w:tbl>
      <w:tblPr>
        <w:tblW w:type="dxa" w:w="9184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top w:w="40" w:type="dxa"/>
          <w:left w:w="108" w:type="dxa"/>
          <w:bottom w:w="40" w:type="dxa"/>
          <w:right w:w="108" w:type="dxa"/>
        </w:tblCellMar>
      </w:tblPr>
      <w:tblGrid>
        <w:gridCol w:w="1531"/>
        <w:gridCol w:w="7653"/>
      </w:tblGrid>
      <w:tr>
        <w:tc>
          <w:tcPr>
            <w:tcW w:type="dxa" w:w="15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b w:val="1"/>
                <w:bCs/>
                <w:color w:val="000000"/>
                <w:sz w:val="18"/>
                <w:szCs w:val="18"/>
              </w:rPr>
              <w:t xml:space="preserve">编制依据</w:t>
            </w:r>
          </w:p>
        </w:tc>
        <w:tc>
          <w:tcPr>
            <w:tcW w:type="dxa" w:w="76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b w:val="1"/>
                <w:bCs w:val="false"/>
                <w:color w:val="000000"/>
                <w:sz w:val="18"/>
                <w:szCs w:val="18"/>
              </w:rPr>
              <w:t xml:space="preserve">9 月经营复盘与 10 月万圣节活动推广会议决议</w:t>
            </w:r>
          </w:p>
        </w:tc>
      </w:tr>
      <w:tr>
        <w:tc>
          <w:tcPr>
            <w:tcW w:type="dxa" w:w="15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适用周期</w:t>
            </w:r>
          </w:p>
        </w:tc>
        <w:tc>
          <w:tcPr>
            <w:tcW w:type="dxa" w:w="76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10 月 1 日 – 10 月 31 日（含预热期自 9 月底起算）</w:t>
            </w:r>
          </w:p>
        </w:tc>
      </w:tr>
      <w:tr>
        <w:tc>
          <w:tcPr>
            <w:tcW w:type="dxa" w:w="15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本报告用法</w:t>
            </w:r>
          </w:p>
        </w:tc>
        <w:tc>
          <w:tcPr>
            <w:tcW w:type="dxa" w:w="76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第一篇供管理层审核与审批（口径、目标、预算、释放机制、风险）；第二篇供市场与各执行岗位照单执行（执行卡、模板、倒排表）</w:t>
            </w:r>
          </w:p>
        </w:tc>
      </w:tr>
      <w:tr>
        <w:tc>
          <w:tcPr>
            <w:tcW w:type="dxa" w:w="15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数值性质</w:t>
            </w:r>
          </w:p>
        </w:tc>
        <w:tc>
          <w:tcPr>
            <w:tcW w:type="dxa" w:w="76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预算与目标均为「建议值」，需审核会确认；预算给出三档，未批准前不得开投</w:t>
            </w:r>
          </w:p>
        </w:tc>
      </w:tr>
    </w:tbl>
    <w:p>
      <w:pPr>
        <w:spacing w:after="100" w:before="60" w:line="300"/>
      </w:pPr>
      <w:r>
        <w:rPr>
          <w:rFonts w:ascii="Times New Roman" w:eastAsia="宋体" w:hAnsi="Times New Roman" w:cs="Times New Roman"/>
          <w:color w:val="000000"/>
          <w:sz w:val="21"/>
          <w:szCs w:val="21"/>
        </w:rPr>
        <w:t xml:space="preserve">提示：本报告第一节先解决「口径」，再看目标与预算。会上「9 月推广花了 46 万、核销回来不够」与「ROI 低于 1:3 就停」两句，用的是不同的计算口径——口径不统一，10 月的停投判断会失效。</w:t>
      </w:r>
    </w:p>
    <w:p>
      <w:pPr>
        <w:pStyle w:val="Heading2"/>
        <w:spacing w:after="80" w:before="220"/>
      </w:pPr>
      <w:r>
        <w:rPr>
          <w:rFonts w:ascii="Times New Roman" w:eastAsia="微软雅黑" w:hAnsi="Times New Roman" w:cs="Times New Roman"/>
          <w:b w:val="1"/>
          <w:bCs/>
          <w:color w:val="000000"/>
          <w:sz w:val="28"/>
          <w:szCs w:val="28"/>
        </w:rPr>
        <w:t xml:space="preserve">二、9 月投放复盘与口径问题</w:t>
      </w:r>
    </w:p>
    <w:tbl>
      <w:tblPr>
        <w:tblW w:type="dxa" w:w="9184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top w:w="40" w:type="dxa"/>
          <w:left w:w="108" w:type="dxa"/>
          <w:bottom w:w="40" w:type="dxa"/>
          <w:right w:w="108" w:type="dxa"/>
        </w:tblCellMar>
      </w:tblPr>
      <w:tblGrid>
        <w:gridCol w:w="2449"/>
        <w:gridCol w:w="6735"/>
      </w:tblGrid>
      <w:tr>
        <w:trPr>
          <w:tblHeader/>
        </w:trPr>
        <w:tc>
          <w:tcPr>
            <w:tcW w:type="dxa" w:w="244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b w:val="1"/>
                <w:bCs/>
                <w:color w:val="000000"/>
                <w:sz w:val="18"/>
                <w:szCs w:val="18"/>
              </w:rPr>
              <w:t xml:space="preserve">项目</w:t>
            </w:r>
          </w:p>
        </w:tc>
        <w:tc>
          <w:tcPr>
            <w:tcW w:type="dxa" w:w="673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b w:val="1"/>
                <w:bCs/>
                <w:color w:val="000000"/>
                <w:sz w:val="18"/>
                <w:szCs w:val="18"/>
              </w:rPr>
              <w:t xml:space="preserve">数据 / 判断</w:t>
            </w:r>
          </w:p>
        </w:tc>
      </w:tr>
      <w:tr>
        <w:tc>
          <w:tcPr>
            <w:tcW w:type="dxa" w:w="244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9 月推广投入</w:t>
            </w:r>
          </w:p>
        </w:tc>
        <w:tc>
          <w:tcPr>
            <w:tcW w:type="dxa" w:w="673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46 万元</w:t>
            </w:r>
          </w:p>
        </w:tc>
      </w:tr>
      <w:tr>
        <w:tc>
          <w:tcPr>
            <w:tcW w:type="dxa" w:w="244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9 月营收（门票 + 二销）</w:t>
            </w:r>
          </w:p>
        </w:tc>
        <w:tc>
          <w:tcPr>
            <w:tcW w:type="dxa" w:w="673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810 万元（门票 628 万 + 二销 182 万）</w:t>
            </w:r>
          </w:p>
        </w:tc>
      </w:tr>
      <w:tr>
        <w:tc>
          <w:tcPr>
            <w:tcW w:type="dxa" w:w="244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推广费占营收比</w:t>
            </w:r>
          </w:p>
        </w:tc>
        <w:tc>
          <w:tcPr>
            <w:tcW w:type="dxa" w:w="673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5.7%（46 ÷ 810）</w:t>
            </w:r>
          </w:p>
        </w:tc>
      </w:tr>
      <w:tr>
        <w:tc>
          <w:tcPr>
            <w:tcW w:type="dxa" w:w="244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全口径投入产出比</w:t>
            </w:r>
          </w:p>
        </w:tc>
        <w:tc>
          <w:tcPr>
            <w:tcW w:type="dxa" w:w="673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约 17.6 : 1（810 ÷ 46）</w:t>
            </w:r>
          </w:p>
        </w:tc>
      </w:tr>
      <w:tr>
        <w:tc>
          <w:tcPr>
            <w:tcW w:type="dxa" w:w="244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会上判断</w:t>
            </w:r>
          </w:p>
        </w:tc>
        <w:tc>
          <w:tcPr>
            <w:tcW w:type="dxa" w:w="673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「核销回来不够」——即按会上所用口径，9 月投放未达预期</w:t>
            </w:r>
          </w:p>
        </w:tc>
      </w:tr>
      <w:tr>
        <w:tc>
          <w:tcPr>
            <w:tcW w:type="dxa" w:w="244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客流</w:t>
            </w:r>
          </w:p>
        </w:tc>
        <w:tc>
          <w:tcPr>
            <w:tcW w:type="dxa" w:w="673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12.6 万人次，同比下降 7%</w:t>
            </w:r>
          </w:p>
        </w:tc>
      </w:tr>
      <w:tr>
        <w:tc>
          <w:tcPr>
            <w:tcW w:type="dxa" w:w="244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夜场占比</w:t>
            </w:r>
          </w:p>
        </w:tc>
        <w:tc>
          <w:tcPr>
            <w:tcW w:type="dxa" w:w="673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15%，低于预期</w:t>
            </w:r>
          </w:p>
        </w:tc>
      </w:tr>
    </w:tbl>
    <w:p>
      <w:pPr>
        <w:spacing w:after="100" w:before="60" w:line="300"/>
      </w:pPr>
      <w:r>
        <w:rPr>
          <w:rFonts w:ascii="Times New Roman" w:eastAsia="宋体" w:hAnsi="Times New Roman" w:cs="Times New Roman"/>
          <w:color w:val="000000"/>
          <w:sz w:val="21"/>
          <w:szCs w:val="21"/>
        </w:rPr>
        <w:t xml:space="preserve">口径矛盾点（需审核定夺）：按「全口径营收 ÷ 推广费」计算，9 月为 17.6:1，远高于 1:3 的门槛，与「核销回来不够」的判断矛盾。说明会上所用的 ROI 并非全口径，而更接近「该渠道核销 GMV ÷ 该渠道投放费」或「活动增量产出 ÷ 活动投入」。两种口径下的停投结论会完全不同，必须先定义再投放。</w:t>
      </w:r>
    </w:p>
    <w:p>
      <w:pPr>
        <w:pStyle w:val="Heading2"/>
        <w:spacing w:after="80" w:before="220"/>
      </w:pPr>
      <w:r>
        <w:rPr>
          <w:rFonts w:ascii="Times New Roman" w:eastAsia="微软雅黑" w:hAnsi="Times New Roman" w:cs="Times New Roman"/>
          <w:b w:val="1"/>
          <w:bCs/>
          <w:color w:val="000000"/>
          <w:sz w:val="28"/>
          <w:szCs w:val="28"/>
        </w:rPr>
        <w:t xml:space="preserve">三、推广费用与 ROI 口径定义（建议 · 待审核拍板）</w:t>
      </w:r>
    </w:p>
    <w:tbl>
      <w:tblPr>
        <w:tblW w:type="dxa" w:w="9184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top w:w="40" w:type="dxa"/>
          <w:left w:w="108" w:type="dxa"/>
          <w:bottom w:w="40" w:type="dxa"/>
          <w:right w:w="108" w:type="dxa"/>
        </w:tblCellMar>
      </w:tblPr>
      <w:tblGrid>
        <w:gridCol w:w="2041"/>
        <w:gridCol w:w="7143"/>
      </w:tblGrid>
      <w:tr>
        <w:trPr>
          <w:tblHeader/>
        </w:trPr>
        <w:tc>
          <w:tcPr>
            <w:tcW w:type="dxa" w:w="204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b w:val="1"/>
                <w:bCs/>
                <w:color w:val="000000"/>
                <w:sz w:val="18"/>
                <w:szCs w:val="18"/>
              </w:rPr>
              <w:t xml:space="preserve">口径项</w:t>
            </w:r>
          </w:p>
        </w:tc>
        <w:tc>
          <w:tcPr>
            <w:tcW w:type="dxa" w:w="714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b w:val="1"/>
                <w:bCs/>
                <w:color w:val="000000"/>
                <w:sz w:val="18"/>
                <w:szCs w:val="18"/>
              </w:rPr>
              <w:t xml:space="preserve">建议定义</w:t>
            </w:r>
          </w:p>
        </w:tc>
      </w:tr>
      <w:tr>
        <w:tc>
          <w:tcPr>
            <w:tcW w:type="dxa" w:w="204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推广费用口径</w:t>
            </w:r>
          </w:p>
        </w:tc>
        <w:tc>
          <w:tcPr>
            <w:tcW w:type="dxa" w:w="714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含平台佣金、投流费、达人（KOC）费用、物料制作费；不含内部人力成本与整改类硬件支出</w:t>
            </w:r>
          </w:p>
        </w:tc>
      </w:tr>
      <w:tr>
        <w:tc>
          <w:tcPr>
            <w:tcW w:type="dxa" w:w="204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渠道 ROI 口径</w:t>
            </w:r>
          </w:p>
        </w:tc>
        <w:tc>
          <w:tcPr>
            <w:tcW w:type="dxa" w:w="714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该渠道带来的核销 GMV（门票 + 二销）÷ 该渠道投放费用</w:t>
            </w:r>
          </w:p>
        </w:tc>
      </w:tr>
      <w:tr>
        <w:tc>
          <w:tcPr>
            <w:tcW w:type="dxa" w:w="204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>止损线与目标 ROI</w:t>
            </w:r>
          </w:p>
        </w:tc>
        <w:tc>
          <w:tcPr>
            <w:tcW w:type="dxa" w:w="714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>止损线：单渠道 ROI 连续 2 周低于 1:3 → 停投或减投。目标 ROI（牵引线，按渠道分层）：抖音 1:8、美团 1:6、小红书 1:5、KOC/达人 1:4、异业/线下物料 1:3.5、亲子社群/私域 1:10。两把尺子必须分开：低于 1:3 停手，未达目标 ROI 则加投或优化，而不是「守住 1:3 就算达标」。</w:t>
            </w:r>
          </w:p>
        </w:tc>
      </w:tr>
      <w:tr>
        <w:tc>
          <w:tcPr>
            <w:tcW w:type="dxa" w:w="204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归因口径</w:t>
            </w:r>
          </w:p>
        </w:tc>
        <w:tc>
          <w:tcPr>
            <w:tcW w:type="dxa" w:w="714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以核销订单的渠道标识为准；跨渠道不重复计算（一单只归一个渠道）</w:t>
            </w:r>
          </w:p>
        </w:tc>
      </w:tr>
      <w:tr>
        <w:tc>
          <w:tcPr>
            <w:tcW w:type="dxa" w:w="204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二销计入</w:t>
            </w:r>
          </w:p>
        </w:tc>
        <w:tc>
          <w:tcPr>
            <w:tcW w:type="dxa" w:w="714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渠道核销带来的二销计入该渠道 GMV（需在系统内可归因）</w:t>
            </w:r>
          </w:p>
        </w:tc>
      </w:tr>
      <w:tr>
        <w:tc>
          <w:tcPr>
            <w:tcW w:type="dxa" w:w="204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复盘节奏</w:t>
            </w:r>
          </w:p>
        </w:tc>
        <w:tc>
          <w:tcPr>
            <w:tcW w:type="dxa" w:w="714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每周一复盘上周数据；每阶段结束做一次阶段复盘（见第六节释放机制）</w:t>
            </w:r>
          </w:p>
        </w:tc>
      </w:tr>
    </w:tbl>
    <w:p>
      <w:pPr>
        <w:pStyle w:val="Heading2"/>
        <w:spacing w:after="80" w:before="220"/>
      </w:pPr>
      <w:r>
        <w:rPr>
          <w:rFonts w:ascii="Times New Roman" w:eastAsia="微软雅黑" w:hAnsi="Times New Roman" w:cs="Times New Roman"/>
          <w:b w:val="1"/>
          <w:bCs/>
          <w:color w:val="000000"/>
          <w:sz w:val="28"/>
          <w:szCs w:val="28"/>
        </w:rPr>
        <w:t xml:space="preserve">四、10 月目标（建议值 · 待审核）</w:t>
      </w:r>
    </w:p>
    <w:tbl>
      <w:tblPr>
        <w:tblW w:type="dxa" w:w="9184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top w:w="40" w:type="dxa"/>
          <w:left w:w="108" w:type="dxa"/>
          <w:bottom w:w="40" w:type="dxa"/>
          <w:right w:w="108" w:type="dxa"/>
        </w:tblCellMar>
      </w:tblPr>
      <w:tblGrid>
        <w:gridCol w:w="1531"/>
        <w:gridCol w:w="1939"/>
        <w:gridCol w:w="1939"/>
        <w:gridCol w:w="3776"/>
      </w:tblGrid>
      <w:tr>
        <w:trPr>
          <w:tblHeader/>
        </w:trPr>
        <w:tc>
          <w:tcPr>
            <w:tcW w:type="dxa" w:w="15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b w:val="1"/>
                <w:bCs/>
                <w:color w:val="000000"/>
                <w:sz w:val="18"/>
                <w:szCs w:val="18"/>
              </w:rPr>
              <w:t xml:space="preserve">指标</w:t>
            </w:r>
          </w:p>
        </w:tc>
        <w:tc>
          <w:tcPr>
            <w:tcW w:type="dxa" w:w="193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b w:val="1"/>
                <w:bCs/>
                <w:color w:val="000000"/>
                <w:sz w:val="18"/>
                <w:szCs w:val="18"/>
              </w:rPr>
              <w:t xml:space="preserve">9 月实际</w:t>
            </w:r>
          </w:p>
        </w:tc>
        <w:tc>
          <w:tcPr>
            <w:tcW w:type="dxa" w:w="193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b w:val="1"/>
                <w:bCs/>
                <w:color w:val="000000"/>
                <w:sz w:val="18"/>
                <w:szCs w:val="18"/>
              </w:rPr>
              <w:t xml:space="preserve">10 月目标</w:t>
            </w:r>
          </w:p>
        </w:tc>
        <w:tc>
          <w:tcPr>
            <w:tcW w:type="dxa" w:w="37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b w:val="1"/>
                <w:bCs/>
                <w:color w:val="000000"/>
                <w:sz w:val="18"/>
                <w:szCs w:val="18"/>
              </w:rPr>
              <w:t xml:space="preserve">口径说明</w:t>
            </w:r>
          </w:p>
        </w:tc>
      </w:tr>
      <w:tr>
        <w:tc>
          <w:tcPr>
            <w:tcW w:type="dxa" w:w="15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客流</w:t>
            </w:r>
          </w:p>
        </w:tc>
        <w:tc>
          <w:tcPr>
            <w:tcW w:type="dxa" w:w="193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12.6 万人次</w:t>
            </w:r>
          </w:p>
        </w:tc>
        <w:tc>
          <w:tcPr>
            <w:tcW w:type="dxa" w:w="193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16.5 万人次</w:t>
            </w:r>
          </w:p>
        </w:tc>
        <w:tc>
          <w:tcPr>
            <w:tcW w:type="dxa" w:w="37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区间建议 15 – 18 万；10 月含国庆黄金周与万圣节峰值</w:t>
            </w:r>
          </w:p>
        </w:tc>
      </w:tr>
      <w:tr>
        <w:tc>
          <w:tcPr>
            <w:tcW w:type="dxa" w:w="15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营收</w:t>
            </w:r>
          </w:p>
        </w:tc>
        <w:tc>
          <w:tcPr>
            <w:tcW w:type="dxa" w:w="193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810 万元</w:t>
            </w:r>
          </w:p>
        </w:tc>
        <w:tc>
          <w:tcPr>
            <w:tcW w:type="dxa" w:w="193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1150 万元</w:t>
            </w:r>
          </w:p>
        </w:tc>
        <w:tc>
          <w:tcPr>
            <w:tcW w:type="dxa" w:w="37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>门票约 850 万 + 二销约 300 万</w:t>
            </w:r>
          </w:p>
        </w:tc>
      </w:tr>
      <w:tr>
        <w:tc>
          <w:tcPr>
            <w:tcW w:type="dxa" w:w="15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客单价</w:t>
            </w:r>
          </w:p>
        </w:tc>
        <w:tc>
          <w:tcPr>
            <w:tcW w:type="dxa" w:w="193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64 元</w:t>
            </w:r>
          </w:p>
        </w:tc>
        <w:tc>
          <w:tcPr>
            <w:tcW w:type="dxa" w:w="193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70 元</w:t>
            </w:r>
          </w:p>
        </w:tc>
        <w:tc>
          <w:tcPr>
            <w:tcW w:type="dxa" w:w="37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营收 ÷ 客流</w:t>
            </w:r>
          </w:p>
        </w:tc>
      </w:tr>
      <w:tr>
        <w:tc>
          <w:tcPr>
            <w:tcW w:type="dxa" w:w="15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二销</w:t>
            </w:r>
          </w:p>
        </w:tc>
        <w:tc>
          <w:tcPr>
            <w:tcW w:type="dxa" w:w="193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182 万元</w:t>
            </w:r>
          </w:p>
        </w:tc>
        <w:tc>
          <w:tcPr>
            <w:tcW w:type="dxa" w:w="193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300 万元</w:t>
            </w:r>
          </w:p>
        </w:tc>
        <w:tc>
          <w:tcPr>
            <w:tcW w:type="dxa" w:w="37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人均二销由 14.4 元提升至 18.2 元</w:t>
            </w:r>
          </w:p>
        </w:tc>
      </w:tr>
      <w:tr>
        <w:tc>
          <w:tcPr>
            <w:tcW w:type="dxa" w:w="15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二销占比</w:t>
            </w:r>
          </w:p>
        </w:tc>
        <w:tc>
          <w:tcPr>
            <w:tcW w:type="dxa" w:w="193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22.5%</w:t>
            </w:r>
          </w:p>
        </w:tc>
        <w:tc>
          <w:tcPr>
            <w:tcW w:type="dxa" w:w="193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26%</w:t>
            </w:r>
          </w:p>
        </w:tc>
        <w:tc>
          <w:tcPr>
            <w:tcW w:type="dxa" w:w="37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二销 ÷ 营收</w:t>
            </w:r>
          </w:p>
        </w:tc>
      </w:tr>
      <w:tr>
        <w:tc>
          <w:tcPr>
            <w:tcW w:type="dxa" w:w="15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渠道 ROI</w:t>
            </w:r>
          </w:p>
        </w:tc>
        <w:tc>
          <w:tcPr>
            <w:tcW w:type="dxa" w:w="193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未按渠道统计</w:t>
            </w:r>
          </w:p>
        </w:tc>
        <w:tc>
          <w:tcPr>
            <w:tcW w:type="dxa" w:w="193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>≥ 1:3（止损线）且 ≥ 各渠道目标 ROI（牵引线）</w:t>
            </w:r>
          </w:p>
        </w:tc>
        <w:tc>
          <w:tcPr>
            <w:tcW w:type="dxa" w:w="37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>两把尺子见第三节；目标 ROI：抖音 1:8、美团 1:6、小红书 1:5、KOC 1:4、异业 1:3.5、私域 1:10</w:t>
            </w:r>
          </w:p>
        </w:tc>
      </w:tr>
    </w:tbl>
    <w:p>
      <w:pPr>
        <w:spacing w:after="100" w:before="60" w:line="300"/>
      </w:pPr>
      <w:r>
        <w:rPr>
          <w:rFonts w:ascii="Times New Roman" w:eastAsia="宋体" w:hAnsi="Times New Roman" w:cs="Times New Roman"/>
          <w:color w:val="000000"/>
          <w:sz w:val="21"/>
          <w:szCs w:val="21"/>
        </w:rPr>
        <w:t>目标推导：9 月客单价 64 元、二销占比 22.5% 为实际值；10 月客单价与二销占比为建议提升值（靠餐饮预点、商品组合、鬼屋拍照、化妆摊位、排队区互动五个抓手），需审核确认。客流目标为建议区间，需结合去年同期实绩与承载上限核定。 另：按各渠道目标 ROI 核算，六渠道归因 GMV 合计约 580 万元（抖音约 258 万、美团约 100 万、小红书约 55 万、KOC 约 55 万、异业约 39 万、私域约 74 万），其余约 570 万元需由自然到店、会员复购与现场散客贡献。该「渠道归因 / 自然客流」拆分比例为估算，需审核确认。</w:t>
      </w:r>
    </w:p>
    <w:p>
      <w:pPr>
        <w:pStyle w:val="Heading2"/>
        <w:spacing w:after="80" w:before="220"/>
      </w:pPr>
      <w:r>
        <w:rPr>
          <w:rFonts w:ascii="Times New Roman" w:eastAsia="微软雅黑" w:hAnsi="Times New Roman" w:cs="Times New Roman"/>
          <w:b w:val="1"/>
          <w:bCs/>
          <w:color w:val="000000"/>
          <w:sz w:val="28"/>
          <w:szCs w:val="28"/>
        </w:rPr>
        <w:t xml:space="preserve">五、10 月预算方案（三档 · 建议取推荐档）</w:t>
      </w:r>
    </w:p>
    <w:p>
      <w:pPr>
        <w:pStyle w:val="Heading3"/>
        <w:spacing w:after="60" w:before="160"/>
      </w:pPr>
      <w:r>
        <w:rPr>
          <w:rFonts w:ascii="Times New Roman" w:eastAsia="微软雅黑" w:hAnsi="Times New Roman" w:cs="Times New Roman"/>
          <w:b w:val="1"/>
          <w:bCs/>
          <w:color w:val="000000"/>
          <w:sz w:val="24"/>
          <w:szCs w:val="24"/>
        </w:rPr>
        <w:t xml:space="preserve">5.1 档位</w:t>
      </w:r>
    </w:p>
    <w:tbl>
      <w:tblPr>
        <w:tblW w:type="dxa" w:w="9184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top w:w="40" w:type="dxa"/>
          <w:left w:w="108" w:type="dxa"/>
          <w:bottom w:w="40" w:type="dxa"/>
          <w:right w:w="108" w:type="dxa"/>
        </w:tblCellMar>
      </w:tblPr>
      <w:tblGrid>
        <w:gridCol w:w="1531"/>
        <w:gridCol w:w="1531"/>
        <w:gridCol w:w="6122"/>
      </w:tblGrid>
      <w:tr>
        <w:trPr>
          <w:tblHeader/>
        </w:trPr>
        <w:tc>
          <w:tcPr>
            <w:tcW w:type="dxa" w:w="15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b w:val="1"/>
                <w:bCs/>
                <w:color w:val="000000"/>
                <w:sz w:val="18"/>
                <w:szCs w:val="18"/>
              </w:rPr>
              <w:t xml:space="preserve">档位</w:t>
            </w:r>
          </w:p>
        </w:tc>
        <w:tc>
          <w:tcPr>
            <w:tcW w:type="dxa" w:w="15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b w:val="1"/>
                <w:bCs/>
                <w:color w:val="000000"/>
                <w:sz w:val="18"/>
                <w:szCs w:val="18"/>
              </w:rPr>
              <w:t xml:space="preserve">总额</w:t>
            </w:r>
          </w:p>
        </w:tc>
        <w:tc>
          <w:tcPr>
            <w:tcW w:type="dxa" w:w="612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b w:val="1"/>
                <w:bCs/>
                <w:color w:val="000000"/>
                <w:sz w:val="18"/>
                <w:szCs w:val="18"/>
              </w:rPr>
              <w:t xml:space="preserve">适用条件</w:t>
            </w:r>
          </w:p>
        </w:tc>
      </w:tr>
      <w:tr>
        <w:tc>
          <w:tcPr>
            <w:tcW w:type="dxa" w:w="15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保守档</w:t>
            </w:r>
          </w:p>
        </w:tc>
        <w:tc>
          <w:tcPr>
            <w:tcW w:type="dxa" w:w="15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68 万元</w:t>
            </w:r>
          </w:p>
        </w:tc>
        <w:tc>
          <w:tcPr>
            <w:tcW w:type="dxa" w:w="612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仅保已验渠道与自有流量。当前置阶段数据不达标、或须收缩时启用</w:t>
            </w:r>
          </w:p>
        </w:tc>
      </w:tr>
      <w:tr>
        <w:tc>
          <w:tcPr>
            <w:tcW w:type="dxa" w:w="15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推荐档</w:t>
            </w:r>
          </w:p>
        </w:tc>
        <w:tc>
          <w:tcPr>
            <w:tcW w:type="dxa" w:w="15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92 万元</w:t>
            </w:r>
          </w:p>
        </w:tc>
        <w:tc>
          <w:tcPr>
            <w:tcW w:type="dxa" w:w="612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默认执行档。含已验渠道加投 + 新渠道测试 + 峰值期集中投放</w:t>
            </w:r>
          </w:p>
        </w:tc>
      </w:tr>
      <w:tr>
        <w:tc>
          <w:tcPr>
            <w:tcW w:type="dxa" w:w="15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进取档</w:t>
            </w:r>
          </w:p>
        </w:tc>
        <w:tc>
          <w:tcPr>
            <w:tcW w:type="dxa" w:w="15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120 万元</w:t>
            </w:r>
          </w:p>
        </w:tc>
        <w:tc>
          <w:tcPr>
            <w:tcW w:type="dxa" w:w="612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上限档。仅当预热期 ROI 达标（≥1:3）时，才释放差额</w:t>
            </w:r>
          </w:p>
        </w:tc>
      </w:tr>
    </w:tbl>
    <w:p>
      <w:pPr>
        <w:spacing w:after="100" w:before="60" w:line="300"/>
      </w:pPr>
      <w:r>
        <w:rPr>
          <w:rFonts w:ascii="Times New Roman" w:eastAsia="宋体" w:hAnsi="Times New Roman" w:cs="Times New Roman"/>
          <w:color w:val="000000"/>
          <w:sz w:val="21"/>
          <w:szCs w:val="21"/>
        </w:rPr>
        <w:t xml:space="preserve">推导过程：以 9 月实投 46 万元为基数，按活动强度系数取三档——保守 1.5 倍（68 万）、推荐 2.0 倍（92 万）、进取 2.6 倍（120 万）。系数取值依据为「万圣节是全年最大节点、9 月已试跑、10 月必须打透」的会议判断，属经验取值，非精确测算，需审核确认。会上分歧（「还这么投不同意」对「不投更没客流」）由第六节的分档释放机制解决：预算不是一次性放完，而是按 ROI 结果逐段释放。</w:t>
      </w:r>
    </w:p>
    <w:p>
      <w:pPr>
        <w:pStyle w:val="Heading3"/>
        <w:spacing w:after="60" w:before="160"/>
      </w:pPr>
      <w:r>
        <w:rPr>
          <w:rFonts w:ascii="Times New Roman" w:eastAsia="微软雅黑" w:hAnsi="Times New Roman" w:cs="Times New Roman"/>
          <w:b w:val="1"/>
          <w:bCs/>
          <w:color w:val="000000"/>
          <w:sz w:val="24"/>
          <w:szCs w:val="24"/>
        </w:rPr>
        <w:t xml:space="preserve">5.2 分阶段分配（推荐档 92 万元）</w:t>
      </w:r>
    </w:p>
    <w:tbl>
      <w:tblPr>
        <w:tblW w:type="dxa" w:w="9184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top w:w="40" w:type="dxa"/>
          <w:left w:w="108" w:type="dxa"/>
          <w:bottom w:w="40" w:type="dxa"/>
          <w:right w:w="108" w:type="dxa"/>
        </w:tblCellMar>
      </w:tblPr>
      <w:tblGrid>
        <w:gridCol w:w="1531"/>
        <w:gridCol w:w="3674"/>
        <w:gridCol w:w="1531"/>
        <w:gridCol w:w="2449"/>
      </w:tblGrid>
      <w:tr>
        <w:trPr>
          <w:tblHeader/>
        </w:trPr>
        <w:tc>
          <w:tcPr>
            <w:tcW w:type="dxa" w:w="15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b w:val="1"/>
                <w:bCs/>
                <w:color w:val="000000"/>
                <w:sz w:val="18"/>
                <w:szCs w:val="18"/>
              </w:rPr>
              <w:t xml:space="preserve">阶段</w:t>
            </w:r>
          </w:p>
        </w:tc>
        <w:tc>
          <w:tcPr>
            <w:tcW w:type="dxa" w:w="367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b w:val="1"/>
                <w:bCs/>
                <w:color w:val="000000"/>
                <w:sz w:val="18"/>
                <w:szCs w:val="18"/>
              </w:rPr>
              <w:t xml:space="preserve">时间</w:t>
            </w:r>
          </w:p>
        </w:tc>
        <w:tc>
          <w:tcPr>
            <w:tcW w:type="dxa" w:w="15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b w:val="1"/>
                <w:bCs/>
                <w:color w:val="000000"/>
                <w:sz w:val="18"/>
                <w:szCs w:val="18"/>
              </w:rPr>
              <w:t xml:space="preserve">占比</w:t>
            </w:r>
          </w:p>
        </w:tc>
        <w:tc>
          <w:tcPr>
            <w:tcW w:type="dxa" w:w="244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b w:val="1"/>
                <w:bCs/>
                <w:color w:val="000000"/>
                <w:sz w:val="18"/>
                <w:szCs w:val="18"/>
              </w:rPr>
              <w:t xml:space="preserve">金额</w:t>
            </w:r>
          </w:p>
        </w:tc>
      </w:tr>
      <w:tr>
        <w:tc>
          <w:tcPr>
            <w:tcW w:type="dxa" w:w="15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预热期</w:t>
            </w:r>
          </w:p>
        </w:tc>
        <w:tc>
          <w:tcPr>
            <w:tcW w:type="dxa" w:w="367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9 月底 – 10 月 7 日</w:t>
            </w:r>
          </w:p>
        </w:tc>
        <w:tc>
          <w:tcPr>
            <w:tcW w:type="dxa" w:w="15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22%</w:t>
            </w:r>
          </w:p>
        </w:tc>
        <w:tc>
          <w:tcPr>
            <w:tcW w:type="dxa" w:w="244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20.2 万元</w:t>
            </w:r>
          </w:p>
        </w:tc>
      </w:tr>
      <w:tr>
        <w:tc>
          <w:tcPr>
            <w:tcW w:type="dxa" w:w="15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主推期</w:t>
            </w:r>
          </w:p>
        </w:tc>
        <w:tc>
          <w:tcPr>
            <w:tcW w:type="dxa" w:w="367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10 月 8 日 – 10 月 26 日</w:t>
            </w:r>
          </w:p>
        </w:tc>
        <w:tc>
          <w:tcPr>
            <w:tcW w:type="dxa" w:w="15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43%</w:t>
            </w:r>
          </w:p>
        </w:tc>
        <w:tc>
          <w:tcPr>
            <w:tcW w:type="dxa" w:w="244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39.6 万元</w:t>
            </w:r>
          </w:p>
        </w:tc>
      </w:tr>
      <w:tr>
        <w:tc>
          <w:tcPr>
            <w:tcW w:type="dxa" w:w="15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峰值期</w:t>
            </w:r>
          </w:p>
        </w:tc>
        <w:tc>
          <w:tcPr>
            <w:tcW w:type="dxa" w:w="367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10 月 27 日 – 10 月 31 日</w:t>
            </w:r>
          </w:p>
        </w:tc>
        <w:tc>
          <w:tcPr>
            <w:tcW w:type="dxa" w:w="15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35%</w:t>
            </w:r>
          </w:p>
        </w:tc>
        <w:tc>
          <w:tcPr>
            <w:tcW w:type="dxa" w:w="244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32.2 万元</w:t>
            </w:r>
          </w:p>
        </w:tc>
      </w:tr>
    </w:tbl>
    <w:p>
      <w:pPr>
        <w:pStyle w:val="Heading3"/>
        <w:spacing w:after="60" w:before="160"/>
      </w:pPr>
      <w:r>
        <w:rPr>
          <w:rFonts w:ascii="Times New Roman" w:eastAsia="微软雅黑" w:hAnsi="Times New Roman" w:cs="Times New Roman"/>
          <w:b w:val="1"/>
          <w:bCs/>
          <w:color w:val="000000"/>
          <w:sz w:val="24"/>
          <w:szCs w:val="24"/>
        </w:rPr>
        <w:t xml:space="preserve">5.3 分渠道分配（推荐档 92 万元）</w:t>
      </w:r>
    </w:p>
    <w:tbl>
      <w:tblPr>
        <w:tblW w:type="dxa" w:w="9184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top w:w="40" w:type="dxa"/>
          <w:left w:w="108" w:type="dxa"/>
          <w:bottom w:w="40" w:type="dxa"/>
          <w:right w:w="108" w:type="dxa"/>
        </w:tblCellMar>
      </w:tblPr>
      <w:tblGrid>
        <w:gridCol w:w="1939"/>
        <w:gridCol w:w="1225"/>
        <w:gridCol w:w="1734"/>
        <w:gridCol w:w="4286"/>
      </w:tblGrid>
      <w:tr>
        <w:trPr>
          <w:tblHeader/>
        </w:trPr>
        <w:tc>
          <w:tcPr>
            <w:tcW w:type="dxa" w:w="193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b w:val="1"/>
                <w:bCs/>
                <w:color w:val="000000"/>
                <w:sz w:val="18"/>
                <w:szCs w:val="18"/>
              </w:rPr>
              <w:t xml:space="preserve">渠道</w:t>
            </w:r>
          </w:p>
        </w:tc>
        <w:tc>
          <w:tcPr>
            <w:tcW w:type="dxa" w:w="122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b w:val="1"/>
                <w:bCs/>
                <w:color w:val="000000"/>
                <w:sz w:val="18"/>
                <w:szCs w:val="18"/>
              </w:rPr>
              <w:t xml:space="preserve">占比</w:t>
            </w:r>
          </w:p>
        </w:tc>
        <w:tc>
          <w:tcPr>
            <w:tcW w:type="dxa" w:w="173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b w:val="1"/>
                <w:bCs/>
                <w:color w:val="000000"/>
                <w:sz w:val="18"/>
                <w:szCs w:val="18"/>
              </w:rPr>
              <w:t xml:space="preserve">金额</w:t>
            </w:r>
          </w:p>
        </w:tc>
        <w:tc>
          <w:tcPr>
            <w:tcW w:type="dxa" w:w="428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b w:val="1"/>
                <w:bCs/>
                <w:color w:val="000000"/>
                <w:sz w:val="18"/>
                <w:szCs w:val="18"/>
              </w:rPr>
              <w:t xml:space="preserve">主推动作</w:t>
            </w:r>
          </w:p>
        </w:tc>
      </w:tr>
      <w:tr>
        <w:tc>
          <w:tcPr>
            <w:tcW w:type="dxa" w:w="193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抖音</w:t>
            </w:r>
          </w:p>
        </w:tc>
        <w:tc>
          <w:tcPr>
            <w:tcW w:type="dxa" w:w="122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35%</w:t>
            </w:r>
          </w:p>
        </w:tc>
        <w:tc>
          <w:tcPr>
            <w:tcW w:type="dxa" w:w="173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32.2 万元</w:t>
            </w:r>
          </w:p>
        </w:tc>
        <w:tc>
          <w:tcPr>
            <w:tcW w:type="dxa" w:w="428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直播 + 团购</w:t>
            </w:r>
          </w:p>
        </w:tc>
      </w:tr>
      <w:tr>
        <w:tc>
          <w:tcPr>
            <w:tcW w:type="dxa" w:w="193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美团</w:t>
            </w:r>
          </w:p>
        </w:tc>
        <w:tc>
          <w:tcPr>
            <w:tcW w:type="dxa" w:w="122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18%</w:t>
            </w:r>
          </w:p>
        </w:tc>
        <w:tc>
          <w:tcPr>
            <w:tcW w:type="dxa" w:w="173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16.6 万元</w:t>
            </w:r>
          </w:p>
        </w:tc>
        <w:tc>
          <w:tcPr>
            <w:tcW w:type="dxa" w:w="428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爆款票</w:t>
            </w:r>
          </w:p>
        </w:tc>
      </w:tr>
      <w:tr>
        <w:tc>
          <w:tcPr>
            <w:tcW w:type="dxa" w:w="193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KOC / 达人</w:t>
            </w:r>
          </w:p>
        </w:tc>
        <w:tc>
          <w:tcPr>
            <w:tcW w:type="dxa" w:w="122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15%</w:t>
            </w:r>
          </w:p>
        </w:tc>
        <w:tc>
          <w:tcPr>
            <w:tcW w:type="dxa" w:w="173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13.8 万元</w:t>
            </w:r>
          </w:p>
        </w:tc>
        <w:tc>
          <w:tcPr>
            <w:tcW w:type="dxa" w:w="428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本地亲子号为主，不只找大号</w:t>
            </w:r>
          </w:p>
        </w:tc>
      </w:tr>
      <w:tr>
        <w:tc>
          <w:tcPr>
            <w:tcW w:type="dxa" w:w="193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小红书</w:t>
            </w:r>
          </w:p>
        </w:tc>
        <w:tc>
          <w:tcPr>
            <w:tcW w:type="dxa" w:w="122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12%</w:t>
            </w:r>
          </w:p>
        </w:tc>
        <w:tc>
          <w:tcPr>
            <w:tcW w:type="dxa" w:w="173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11.0 万元</w:t>
            </w:r>
          </w:p>
        </w:tc>
        <w:tc>
          <w:tcPr>
            <w:tcW w:type="dxa" w:w="428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打卡攻略</w:t>
            </w:r>
          </w:p>
        </w:tc>
      </w:tr>
      <w:tr>
        <w:tc>
          <w:tcPr>
            <w:tcW w:type="dxa" w:w="193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异业 / 线下物料</w:t>
            </w:r>
          </w:p>
        </w:tc>
        <w:tc>
          <w:tcPr>
            <w:tcW w:type="dxa" w:w="122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12%</w:t>
            </w:r>
          </w:p>
        </w:tc>
        <w:tc>
          <w:tcPr>
            <w:tcW w:type="dxa" w:w="173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11.0 万元</w:t>
            </w:r>
          </w:p>
        </w:tc>
        <w:tc>
          <w:tcPr>
            <w:tcW w:type="dxa" w:w="428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商场、影院、学校周边；统一主题物料</w:t>
            </w:r>
          </w:p>
        </w:tc>
      </w:tr>
      <w:tr>
        <w:tc>
          <w:tcPr>
            <w:tcW w:type="dxa" w:w="193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亲子社群 / 私域</w:t>
            </w:r>
          </w:p>
        </w:tc>
        <w:tc>
          <w:tcPr>
            <w:tcW w:type="dxa" w:w="122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8%</w:t>
            </w:r>
          </w:p>
        </w:tc>
        <w:tc>
          <w:tcPr>
            <w:tcW w:type="dxa" w:w="173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7.4 万元</w:t>
            </w:r>
          </w:p>
        </w:tc>
        <w:tc>
          <w:tcPr>
            <w:tcW w:type="dxa" w:w="428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拼团</w:t>
            </w:r>
          </w:p>
        </w:tc>
      </w:tr>
    </w:tbl>
    <w:p>
      <w:pPr>
        <w:spacing w:after="100" w:before="60" w:line="300"/>
      </w:pPr>
      <w:r>
        <w:rPr>
          <w:rFonts w:ascii="Times New Roman" w:eastAsia="宋体" w:hAnsi="Times New Roman" w:cs="Times New Roman"/>
          <w:color w:val="000000"/>
          <w:sz w:val="21"/>
          <w:szCs w:val="21"/>
        </w:rPr>
        <w:t xml:space="preserve">分配依据：渠道清单来自会议决议（抖音、美团、小红书、亲子社群、异业、KOC）。占比为建议值，按渠道承载与历史贡献估配，需在预热期数据出来后调整；单渠道占比不得超过 35%，避免渠道依赖。</w:t>
      </w:r>
    </w:p>
    <w:p>
      <w:pPr>
        <w:pStyle w:val="Heading2"/>
        <w:spacing w:after="80" w:before="220"/>
      </w:pPr>
      <w:r>
        <w:rPr>
          <w:rFonts w:ascii="Times New Roman" w:eastAsia="微软雅黑" w:hAnsi="Times New Roman" w:cs="Times New Roman"/>
          <w:b w:val="1"/>
          <w:bCs/>
          <w:color w:val="000000"/>
          <w:sz w:val="28"/>
          <w:szCs w:val="28"/>
        </w:rPr>
        <w:t xml:space="preserve">六、分档释放与停投机制（解决会上分歧）</w:t>
      </w:r>
    </w:p>
    <w:tbl>
      <w:tblPr>
        <w:tblW w:type="dxa" w:w="9184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top w:w="40" w:type="dxa"/>
          <w:left w:w="108" w:type="dxa"/>
          <w:bottom w:w="40" w:type="dxa"/>
          <w:right w:w="108" w:type="dxa"/>
        </w:tblCellMar>
      </w:tblPr>
      <w:tblGrid>
        <w:gridCol w:w="2653"/>
        <w:gridCol w:w="2653"/>
        <w:gridCol w:w="3878"/>
      </w:tblGrid>
      <w:tr>
        <w:trPr>
          <w:tblHeader/>
        </w:trPr>
        <w:tc>
          <w:tcPr>
            <w:tcW w:type="dxa" w:w="26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b w:val="1"/>
                <w:bCs/>
                <w:color w:val="000000"/>
                <w:sz w:val="18"/>
                <w:szCs w:val="18"/>
              </w:rPr>
              <w:t xml:space="preserve">节点</w:t>
            </w:r>
          </w:p>
        </w:tc>
        <w:tc>
          <w:tcPr>
            <w:tcW w:type="dxa" w:w="26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b w:val="1"/>
                <w:bCs/>
                <w:color w:val="000000"/>
                <w:sz w:val="18"/>
                <w:szCs w:val="18"/>
              </w:rPr>
              <w:t xml:space="preserve">复盘条件</w:t>
            </w:r>
          </w:p>
        </w:tc>
        <w:tc>
          <w:tcPr>
            <w:tcW w:type="dxa" w:w="38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b w:val="1"/>
                <w:bCs/>
                <w:color w:val="000000"/>
                <w:sz w:val="18"/>
                <w:szCs w:val="18"/>
              </w:rPr>
              <w:t xml:space="preserve">动作</w:t>
            </w:r>
          </w:p>
        </w:tc>
      </w:tr>
      <w:tr>
        <w:tc>
          <w:tcPr>
            <w:tcW w:type="dxa" w:w="26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10 月 8 日（预热期结束）</w:t>
            </w:r>
          </w:p>
        </w:tc>
        <w:tc>
          <w:tcPr>
            <w:tcW w:type="dxa" w:w="26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预热期渠道 ROI ≥ 1:3</w:t>
            </w:r>
          </w:p>
        </w:tc>
        <w:tc>
          <w:tcPr>
            <w:tcW w:type="dxa" w:w="38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释放主推期全额（39.6 万）</w:t>
            </w:r>
          </w:p>
        </w:tc>
      </w:tr>
      <w:tr>
        <w:tc>
          <w:tcPr>
            <w:tcW w:type="dxa" w:w="26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10 月 8 日（预热期结束）</w:t>
            </w:r>
          </w:p>
        </w:tc>
        <w:tc>
          <w:tcPr>
            <w:tcW w:type="dxa" w:w="26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ROI 在 2:1 – 3:1 之间</w:t>
            </w:r>
          </w:p>
        </w:tc>
        <w:tc>
          <w:tcPr>
            <w:tcW w:type="dxa" w:w="38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主推期预算减半投放，预算转投已达标渠道</w:t>
            </w:r>
          </w:p>
        </w:tc>
      </w:tr>
      <w:tr>
        <w:tc>
          <w:tcPr>
            <w:tcW w:type="dxa" w:w="26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10 月 8 日（预热期结束）</w:t>
            </w:r>
          </w:p>
        </w:tc>
        <w:tc>
          <w:tcPr>
            <w:tcW w:type="dxa" w:w="26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ROI &lt; 2:1</w:t>
            </w:r>
          </w:p>
        </w:tc>
        <w:tc>
          <w:tcPr>
            <w:tcW w:type="dxa" w:w="38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停止非核心渠道投放，资源转私域与自有流量；差额上收</w:t>
            </w:r>
          </w:p>
        </w:tc>
      </w:tr>
      <w:tr>
        <w:tc>
          <w:tcPr>
            <w:tcW w:type="dxa" w:w="26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10 月 27 日（主推期结束）</w:t>
            </w:r>
          </w:p>
        </w:tc>
        <w:tc>
          <w:tcPr>
            <w:tcW w:type="dxa" w:w="26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同上门槛</w:t>
            </w:r>
          </w:p>
        </w:tc>
        <w:tc>
          <w:tcPr>
            <w:tcW w:type="dxa" w:w="38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同规则决定峰值期投放额度</w:t>
            </w:r>
          </w:p>
        </w:tc>
      </w:tr>
      <w:tr>
        <w:tc>
          <w:tcPr>
            <w:tcW w:type="dxa" w:w="26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11 月初（活动结束）</w:t>
            </w:r>
          </w:p>
        </w:tc>
        <w:tc>
          <w:tcPr>
            <w:tcW w:type="dxa" w:w="26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—</w:t>
            </w:r>
          </w:p>
        </w:tc>
        <w:tc>
          <w:tcPr>
            <w:tcW w:type="dxa" w:w="38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沉淀下一年可复用清单（渠道、素材、达人、票种效果）</w:t>
            </w:r>
          </w:p>
        </w:tc>
      </w:tr>
    </w:tbl>
    <w:p>
      <w:pPr>
        <w:pStyle w:val="ListParagraph"/>
        <w:numPr>
          <w:ilvl w:val="0"/>
          <w:numId w:val="2"/>
        </w:numPr>
        <w:spacing w:after="40" w:before="20" w:line="320"/>
        <w:jc w:val="both"/>
      </w:pPr>
      <w:r>
        <w:rPr>
          <w:rFonts w:ascii="Times New Roman" w:eastAsia="宋体" w:hAnsi="Times New Roman" w:cs="Times New Roman"/>
          <w:sz w:val="21"/>
          <w:szCs w:val="21"/>
          <w:color w:val="000000"/>
        </w:rPr>
        <w:t>硬性纪律（止损线）：单渠道 ROI 连续 2 周低于 1:3，即停投或减投，不硬投。目标 ROI（牵引线）是另一把尺子——只守住 1:3 不足以支撑 1150 万元营收目标。</w:t>
      </w:r>
    </w:p>
    <w:p>
      <w:pPr>
        <w:pStyle w:val="ListParagraph"/>
        <w:numPr>
          <w:ilvl w:val="0"/>
          <w:numId w:val="2"/>
        </w:numPr>
        <w:spacing w:after="40" w:before="20" w:line="320"/>
        <w:jc w:val="both"/>
      </w:pPr>
      <w:r>
        <w:rPr>
          <w:rFonts w:ascii="Times New Roman" w:eastAsia="宋体" w:hAnsi="Times New Roman" w:cs="Times New Roman"/>
          <w:sz w:val="21"/>
          <w:szCs w:val="21"/>
          <w:color w:val="000000"/>
        </w:rPr>
        <w:t xml:space="preserve">超预算：须提前报备（会议决议），不得事后补报；建议预留 5% 机动金（约 4.6 万元，含在 92 万内）。</w:t>
      </w:r>
    </w:p>
    <w:p>
      <w:pPr>
        <w:pStyle w:val="Heading2"/>
        <w:spacing w:after="80" w:before="220"/>
      </w:pPr>
      <w:r>
        <w:rPr>
          <w:rFonts w:ascii="Times New Roman" w:eastAsia="微软雅黑" w:hAnsi="Times New Roman" w:cs="Times New Roman"/>
          <w:b w:val="1"/>
          <w:bCs/>
          <w:color w:val="000000"/>
          <w:sz w:val="28"/>
          <w:szCs w:val="28"/>
        </w:rPr>
        <w:t xml:space="preserve">七、责任分工（建议 · 待落实到人）</w:t>
      </w:r>
    </w:p>
    <w:tbl>
      <w:tblPr>
        <w:tblW w:type="dxa" w:w="9184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top w:w="40" w:type="dxa"/>
          <w:left w:w="108" w:type="dxa"/>
          <w:bottom w:w="40" w:type="dxa"/>
          <w:right w:w="108" w:type="dxa"/>
        </w:tblCellMar>
      </w:tblPr>
      <w:tblGrid>
        <w:gridCol w:w="1939"/>
        <w:gridCol w:w="4286"/>
        <w:gridCol w:w="2959"/>
      </w:tblGrid>
      <w:tr>
        <w:trPr>
          <w:tblHeader/>
        </w:trPr>
        <w:tc>
          <w:tcPr>
            <w:tcW w:type="dxa" w:w="193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b w:val="1"/>
                <w:bCs/>
                <w:color w:val="000000"/>
                <w:sz w:val="18"/>
                <w:szCs w:val="18"/>
              </w:rPr>
              <w:t xml:space="preserve">责任岗位</w:t>
            </w:r>
          </w:p>
        </w:tc>
        <w:tc>
          <w:tcPr>
            <w:tcW w:type="dxa" w:w="428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b w:val="1"/>
                <w:bCs/>
                <w:color w:val="000000"/>
                <w:sz w:val="18"/>
                <w:szCs w:val="18"/>
              </w:rPr>
              <w:t xml:space="preserve">职责范围</w:t>
            </w:r>
          </w:p>
        </w:tc>
        <w:tc>
          <w:tcPr>
            <w:tcW w:type="dxa" w:w="295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b w:val="1"/>
                <w:bCs/>
                <w:color w:val="000000"/>
                <w:sz w:val="18"/>
                <w:szCs w:val="18"/>
              </w:rPr>
              <w:t xml:space="preserve">对应工作</w:t>
            </w:r>
          </w:p>
        </w:tc>
      </w:tr>
      <w:tr>
        <w:tc>
          <w:tcPr>
            <w:tcW w:type="dxa" w:w="193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市场主管</w:t>
            </w:r>
          </w:p>
        </w:tc>
        <w:tc>
          <w:tcPr>
            <w:tcW w:type="dxa" w:w="428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整体投放策略、渠道管理、ROI 周报出口人</w:t>
            </w:r>
          </w:p>
        </w:tc>
        <w:tc>
          <w:tcPr>
            <w:tcW w:type="dxa" w:w="295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全部渠道；释放机制执行</w:t>
            </w:r>
          </w:p>
        </w:tc>
      </w:tr>
      <w:tr>
        <w:tc>
          <w:tcPr>
            <w:tcW w:type="dxa" w:w="193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渠道负责人（分岗）</w:t>
            </w:r>
          </w:p>
        </w:tc>
        <w:tc>
          <w:tcPr>
            <w:tcW w:type="dxa" w:w="428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抖音 / 美团 / 小红书 / 社群 / 异业各自投放执行与数据回报</w:t>
            </w:r>
          </w:p>
        </w:tc>
        <w:tc>
          <w:tcPr>
            <w:tcW w:type="dxa" w:w="295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各渠道执行卡</w:t>
            </w:r>
          </w:p>
        </w:tc>
      </w:tr>
      <w:tr>
        <w:tc>
          <w:tcPr>
            <w:tcW w:type="dxa" w:w="193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运营主管</w:t>
            </w:r>
          </w:p>
        </w:tc>
        <w:tc>
          <w:tcPr>
            <w:tcW w:type="dxa" w:w="428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活动内容、亲子场与惊悚场分设、NPC 与巡游执行</w:t>
            </w:r>
          </w:p>
        </w:tc>
        <w:tc>
          <w:tcPr>
            <w:tcW w:type="dxa" w:w="295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场次卡、内容卡</w:t>
            </w:r>
          </w:p>
        </w:tc>
      </w:tr>
      <w:tr>
        <w:tc>
          <w:tcPr>
            <w:tcW w:type="dxa" w:w="193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票务主管</w:t>
            </w:r>
          </w:p>
        </w:tc>
        <w:tc>
          <w:tcPr>
            <w:tcW w:type="dxa" w:w="428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票种上架、价格分层、会员与季卡专属通道</w:t>
            </w:r>
          </w:p>
        </w:tc>
        <w:tc>
          <w:tcPr>
            <w:tcW w:type="dxa" w:w="295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票种表</w:t>
            </w:r>
          </w:p>
        </w:tc>
      </w:tr>
      <w:tr>
        <w:tc>
          <w:tcPr>
            <w:tcW w:type="dxa" w:w="193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商品 / 餐饮主管</w:t>
            </w:r>
          </w:p>
        </w:tc>
        <w:tc>
          <w:tcPr>
            <w:tcW w:type="dxa" w:w="428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备货、预点单、套餐装袋、库存控制</w:t>
            </w:r>
          </w:p>
        </w:tc>
        <w:tc>
          <w:tcPr>
            <w:tcW w:type="dxa" w:w="295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备货卡</w:t>
            </w:r>
          </w:p>
        </w:tc>
      </w:tr>
      <w:tr>
        <w:tc>
          <w:tcPr>
            <w:tcW w:type="dxa" w:w="193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财务</w:t>
            </w:r>
          </w:p>
        </w:tc>
        <w:tc>
          <w:tcPr>
            <w:tcW w:type="dxa" w:w="428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预算核销、超预算报备把关、投放付款</w:t>
            </w:r>
          </w:p>
        </w:tc>
        <w:tc>
          <w:tcPr>
            <w:tcW w:type="dxa" w:w="295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预算台账</w:t>
            </w:r>
          </w:p>
        </w:tc>
      </w:tr>
      <w:tr>
        <w:tc>
          <w:tcPr>
            <w:tcW w:type="dxa" w:w="193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值班主管</w:t>
            </w:r>
          </w:p>
        </w:tc>
        <w:tc>
          <w:tcPr>
            <w:tcW w:type="dxa" w:w="428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现场执行与应急（限流、走失、设备故障）</w:t>
            </w:r>
          </w:p>
        </w:tc>
        <w:tc>
          <w:tcPr>
            <w:tcW w:type="dxa" w:w="295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现场应急</w:t>
            </w:r>
          </w:p>
        </w:tc>
      </w:tr>
    </w:tbl>
    <w:p>
      <w:pPr>
        <w:pStyle w:val="Heading2"/>
        <w:spacing w:after="80" w:before="220"/>
      </w:pPr>
      <w:r>
        <w:rPr>
          <w:rFonts w:ascii="Times New Roman" w:eastAsia="微软雅黑" w:hAnsi="Times New Roman" w:cs="Times New Roman"/>
          <w:b w:val="1"/>
          <w:bCs/>
          <w:color w:val="000000"/>
          <w:sz w:val="28"/>
          <w:szCs w:val="28"/>
        </w:rPr>
        <w:t xml:space="preserve">八、风险与应对（审核层）</w:t>
      </w:r>
    </w:p>
    <w:tbl>
      <w:tblPr>
        <w:tblW w:type="dxa" w:w="9184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top w:w="40" w:type="dxa"/>
          <w:left w:w="108" w:type="dxa"/>
          <w:bottom w:w="40" w:type="dxa"/>
          <w:right w:w="108" w:type="dxa"/>
        </w:tblCellMar>
      </w:tblPr>
      <w:tblGrid>
        <w:gridCol w:w="2653"/>
        <w:gridCol w:w="6531"/>
      </w:tblGrid>
      <w:tr>
        <w:trPr>
          <w:tblHeader/>
        </w:trPr>
        <w:tc>
          <w:tcPr>
            <w:tcW w:type="dxa" w:w="26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b w:val="1"/>
                <w:bCs/>
                <w:color w:val="000000"/>
                <w:sz w:val="18"/>
                <w:szCs w:val="18"/>
              </w:rPr>
              <w:t xml:space="preserve">风险</w:t>
            </w:r>
          </w:p>
        </w:tc>
        <w:tc>
          <w:tcPr>
            <w:tcW w:type="dxa" w:w="65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b w:val="1"/>
                <w:bCs/>
                <w:color w:val="000000"/>
                <w:sz w:val="18"/>
                <w:szCs w:val="18"/>
              </w:rPr>
              <w:t xml:space="preserve">应对</w:t>
            </w:r>
          </w:p>
        </w:tc>
      </w:tr>
      <w:tr>
        <w:tc>
          <w:tcPr>
            <w:tcW w:type="dxa" w:w="26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预算超支</w:t>
            </w:r>
          </w:p>
        </w:tc>
        <w:tc>
          <w:tcPr>
            <w:tcW w:type="dxa" w:w="65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超预算须提前报备；预留 5% 机动金；财务按周出预算台账</w:t>
            </w:r>
          </w:p>
        </w:tc>
      </w:tr>
      <w:tr>
        <w:tc>
          <w:tcPr>
            <w:tcW w:type="dxa" w:w="26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ROI 口径不统一导致误判</w:t>
            </w:r>
          </w:p>
        </w:tc>
        <w:tc>
          <w:tcPr>
            <w:tcW w:type="dxa" w:w="65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先按第三节定义口径并写入系统，再开始投放；口径全月不改</w:t>
            </w:r>
          </w:p>
        </w:tc>
      </w:tr>
      <w:tr>
        <w:tc>
          <w:tcPr>
            <w:tcW w:type="dxa" w:w="26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渠道依赖单一</w:t>
            </w:r>
          </w:p>
        </w:tc>
        <w:tc>
          <w:tcPr>
            <w:tcW w:type="dxa" w:w="65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单渠道占比上限 35%；弱势渠道只做测试性投放</w:t>
            </w:r>
          </w:p>
        </w:tc>
      </w:tr>
      <w:tr>
        <w:tc>
          <w:tcPr>
            <w:tcW w:type="dxa" w:w="26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天气影响（9 月雨天退票约 1.1 万张）</w:t>
            </w:r>
          </w:p>
        </w:tc>
        <w:tc>
          <w:tcPr>
            <w:tcW w:type="dxa" w:w="65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提前制定天气预案；退改签自助化；雨天转线上种草与预售</w:t>
            </w:r>
          </w:p>
        </w:tc>
      </w:tr>
      <w:tr>
        <w:tc>
          <w:tcPr>
            <w:tcW w:type="dxa" w:w="26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备货压库存</w:t>
            </w:r>
          </w:p>
        </w:tc>
        <w:tc>
          <w:tcPr>
            <w:tcW w:type="dxa" w:w="65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万圣节后不再进货；剩余物料转次年复用或做折价组合</w:t>
            </w:r>
          </w:p>
        </w:tc>
      </w:tr>
      <w:tr>
        <w:tc>
          <w:tcPr>
            <w:tcW w:type="dxa" w:w="26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亲子场与惊悚场混场</w:t>
            </w:r>
          </w:p>
        </w:tc>
        <w:tc>
          <w:tcPr>
            <w:tcW w:type="dxa" w:w="65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素材与场次硬性分开；入口分区、时段分设</w:t>
            </w:r>
          </w:p>
        </w:tc>
      </w:tr>
    </w:tbl>
    <w:p>
      <w:pPr>
        <w:pStyle w:val="Heading2"/>
        <w:spacing w:after="80" w:before="220"/>
      </w:pPr>
      <w:r>
        <w:rPr>
          <w:rFonts w:ascii="Times New Roman" w:eastAsia="微软雅黑" w:hAnsi="Times New Roman" w:cs="Times New Roman"/>
          <w:b w:val="1"/>
          <w:bCs/>
          <w:color w:val="000000"/>
          <w:sz w:val="28"/>
          <w:szCs w:val="28"/>
        </w:rPr>
        <w:t xml:space="preserve">九、需审核确认事项</w:t>
      </w:r>
    </w:p>
    <w:p>
      <w:pPr>
        <w:pStyle w:val="ListParagraph"/>
        <w:numPr>
          <w:ilvl w:val="0"/>
          <w:numId w:val="2"/>
        </w:numPr>
        <w:spacing w:after="40" w:before="20" w:line="320"/>
        <w:jc w:val="both"/>
      </w:pPr>
      <w:r>
        <w:rPr>
          <w:rFonts w:ascii="Times New Roman" w:eastAsia="宋体" w:hAnsi="Times New Roman" w:cs="Times New Roman"/>
          <w:sz w:val="21"/>
          <w:szCs w:val="21"/>
          <w:color w:val="000000"/>
        </w:rPr>
        <w:t>ROI 口径定义（第三节）：建议按「渠道核销 GMV ÷ 渠道投放费」执行；并同时确认各渠道目标 ROI（牵引线）——抖音 1:8、美团 1:6、小红书 1:5、KOC/达人 1:4、异业/线下物料 1:3.5、亲子社群/私域 1:10。</w:t>
      </w:r>
    </w:p>
    <w:p>
      <w:pPr>
        <w:pStyle w:val="ListParagraph"/>
        <w:numPr>
          <w:ilvl w:val="0"/>
          <w:numId w:val="2"/>
        </w:numPr>
        <w:spacing w:after="40" w:before="20" w:line="320"/>
        <w:jc w:val="both"/>
      </w:pPr>
      <w:r>
        <w:rPr>
          <w:rFonts w:ascii="Times New Roman" w:eastAsia="宋体" w:hAnsi="Times New Roman" w:cs="Times New Roman"/>
          <w:sz w:val="21"/>
          <w:szCs w:val="21"/>
          <w:color w:val="000000"/>
        </w:rPr>
        <w:t xml:space="preserve">预算档位选择：保守 68 万 / 推荐 92 万 / 进取 120 万。</w:t>
      </w:r>
    </w:p>
    <w:p>
      <w:pPr>
        <w:pStyle w:val="ListParagraph"/>
        <w:numPr>
          <w:ilvl w:val="0"/>
          <w:numId w:val="2"/>
        </w:numPr>
        <w:spacing w:after="40" w:before="20" w:line="320"/>
        <w:jc w:val="both"/>
      </w:pPr>
      <w:r>
        <w:rPr>
          <w:rFonts w:ascii="Times New Roman" w:eastAsia="宋体" w:hAnsi="Times New Roman" w:cs="Times New Roman"/>
          <w:sz w:val="21"/>
          <w:szCs w:val="21"/>
          <w:color w:val="000000"/>
        </w:rPr>
        <w:t xml:space="preserve">目标值：客流 16.5 万、营收 1150 万、二销 300 万、客单价 70 元。</w:t>
      </w:r>
    </w:p>
    <w:p>
      <w:pPr>
        <w:pStyle w:val="ListParagraph"/>
        <w:numPr>
          <w:ilvl w:val="0"/>
          <w:numId w:val="2"/>
        </w:numPr>
        <w:spacing w:after="40" w:before="20" w:line="320"/>
        <w:jc w:val="both"/>
      </w:pPr>
      <w:r>
        <w:rPr>
          <w:rFonts w:ascii="Times New Roman" w:eastAsia="宋体" w:hAnsi="Times New Roman" w:cs="Times New Roman"/>
          <w:sz w:val="21"/>
          <w:szCs w:val="21"/>
          <w:color w:val="000000"/>
        </w:rPr>
        <w:t xml:space="preserve">「费用超预算提前报备」的报备线与审批人，以及机动金比例（建议 5%）。</w:t>
      </w:r>
    </w:p>
    <w:p>
      <w:pPr>
        <w:pStyle w:val="ListParagraph"/>
        <w:numPr>
          <w:ilvl w:val="0"/>
          <w:numId w:val="2"/>
        </w:numPr>
        <w:spacing w:after="40" w:before="20" w:line="320"/>
        <w:jc w:val="both"/>
      </w:pPr>
      <w:r>
        <w:rPr>
          <w:rFonts w:ascii="Times New Roman" w:eastAsia="宋体" w:hAnsi="Times New Roman" w:cs="Times New Roman"/>
          <w:sz w:val="21"/>
          <w:szCs w:val="21"/>
          <w:color w:val="000000"/>
        </w:rPr>
        <w:t xml:space="preserve">渠道分配比例（第五节）与各渠道负责人姓名。</w:t>
      </w:r>
    </w:p>
    <w:p>
      <w:pPr>
        <w:pStyle w:val="ListParagraph"/>
        <w:numPr>
          <w:ilvl w:val="0"/>
          <w:numId w:val="2"/>
        </w:numPr>
        <w:spacing w:after="40" w:before="20" w:line="320"/>
        <w:jc w:val="both"/>
      </w:pPr>
      <w:r>
        <w:rPr>
          <w:rFonts w:ascii="Times New Roman" w:eastAsia="宋体" w:hAnsi="Times New Roman" w:cs="Times New Roman"/>
          <w:sz w:val="21"/>
          <w:szCs w:val="21"/>
          <w:color w:val="000000"/>
        </w:rPr>
        <w:t xml:space="preserve">分档释放机制的触发阈值（1:3 与 2:1）是否采用。</w:t>
      </w:r>
    </w:p>
    <w:p>
      <w:pPr>
        <w:pStyle w:val="ListParagraph"/>
        <w:numPr>
          <w:ilvl w:val="0"/>
          <w:numId w:val="2"/>
        </w:numPr>
        <w:spacing w:after="40" w:before="20" w:line="320"/>
        <w:jc w:val="both"/>
      </w:pPr>
      <w:r>
        <w:rPr>
          <w:rFonts w:ascii="Times New Roman" w:eastAsia="宋体" w:hAnsi="Times New Roman" w:cs="Times New Roman"/>
          <w:sz w:val="21"/>
          <w:szCs w:val="21"/>
          <w:color w:val="000000"/>
        </w:rPr>
        <w:t xml:space="preserve">整改类硬件支出（4–8 万元）是否与推广预算合并报批。</w:t>
      </w:r>
    </w:p>
    <w:p>
      <w:pPr>
        <w:pStyle w:val="Heading1"/>
        <w:pBdr>
          <w:bottom w:val="single" w:color="999999" w:sz="6" w:space="4"/>
        </w:pBdr>
        <w:spacing w:after="140" w:before="320"/>
      </w:pPr>
      <w:r>
        <w:rPr>
          <w:rFonts w:ascii="Times New Roman" w:eastAsia="微软雅黑" w:hAnsi="Times New Roman" w:cs="Times New Roman"/>
          <w:b w:val="1"/>
          <w:bCs/>
          <w:color w:val="000000"/>
          <w:sz w:val="32"/>
          <w:szCs w:val="32"/>
        </w:rPr>
        <w:t xml:space="preserve">第二篇 · 执行层</w:t>
      </w:r>
    </w:p>
    <w:p>
      <w:pPr>
        <w:spacing w:after="80" w:before="40" w:line="320"/>
        <w:jc w:val="both"/>
      </w:pPr>
      <w:r>
        <w:rPr>
          <w:rFonts w:ascii="Times New Roman" w:eastAsia="宋体" w:hAnsi="Times New Roman" w:cs="Times New Roman"/>
          <w:b/>
          <w:bCs/>
          <w:i w:val="false"/>
          <w:iCs w:val="false"/>
          <w:sz w:val="21"/>
          <w:szCs w:val="21"/>
          <w:color w:val="000000"/>
        </w:rPr>
        <w:t xml:space="preserve">使用说明：</w:t>
      </w:r>
      <w:r>
        <w:rPr>
          <w:rFonts w:ascii="Times New Roman" w:eastAsia="宋体" w:hAnsi="Times New Roman" w:cs="Times New Roman"/>
          <w:sz w:val="21"/>
          <w:szCs w:val="21"/>
          <w:color w:val="000000"/>
        </w:rPr>
        <w:t xml:space="preserve">本篇为市场及各执行岗位照单执行用。按阶段推进，每张卡都可独立交付给对应岗位。</w:t>
      </w:r>
    </w:p>
    <w:p>
      <w:pPr>
        <w:pStyle w:val="Heading2"/>
        <w:spacing w:after="80" w:before="220"/>
      </w:pPr>
      <w:r>
        <w:rPr>
          <w:rFonts w:ascii="Times New Roman" w:eastAsia="微软雅黑" w:hAnsi="Times New Roman" w:cs="Times New Roman"/>
          <w:b w:val="1"/>
          <w:bCs/>
          <w:color w:val="000000"/>
          <w:sz w:val="28"/>
          <w:szCs w:val="28"/>
        </w:rPr>
        <w:t xml:space="preserve">执行卡 1｜三段式节奏表</w:t>
      </w:r>
    </w:p>
    <w:tbl>
      <w:tblPr>
        <w:tblW w:type="dxa" w:w="9184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top w:w="40" w:type="dxa"/>
          <w:left w:w="108" w:type="dxa"/>
          <w:bottom w:w="40" w:type="dxa"/>
          <w:right w:w="108" w:type="dxa"/>
        </w:tblCellMar>
      </w:tblPr>
      <w:tblGrid>
        <w:gridCol w:w="1327"/>
        <w:gridCol w:w="2755"/>
        <w:gridCol w:w="2551"/>
        <w:gridCol w:w="2551"/>
      </w:tblGrid>
      <w:tr>
        <w:trPr>
          <w:tblHeader/>
        </w:trPr>
        <w:tc>
          <w:tcPr>
            <w:tcW w:type="dxa" w:w="13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b w:val="1"/>
                <w:bCs/>
                <w:color w:val="000000"/>
                <w:sz w:val="18"/>
                <w:szCs w:val="18"/>
              </w:rPr>
              <w:t xml:space="preserve">阶段</w:t>
            </w:r>
          </w:p>
        </w:tc>
        <w:tc>
          <w:tcPr>
            <w:tcW w:type="dxa" w:w="27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b w:val="1"/>
                <w:bCs/>
                <w:color w:val="000000"/>
                <w:sz w:val="18"/>
                <w:szCs w:val="18"/>
              </w:rPr>
              <w:t xml:space="preserve">时间</w:t>
            </w:r>
          </w:p>
        </w:tc>
        <w:tc>
          <w:tcPr>
            <w:tcW w:type="dxa" w:w="255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b w:val="1"/>
                <w:bCs/>
                <w:color w:val="000000"/>
                <w:sz w:val="18"/>
                <w:szCs w:val="18"/>
              </w:rPr>
              <w:t xml:space="preserve">主推内容</w:t>
            </w:r>
          </w:p>
        </w:tc>
        <w:tc>
          <w:tcPr>
            <w:tcW w:type="dxa" w:w="255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b w:val="1"/>
                <w:bCs/>
                <w:color w:val="000000"/>
                <w:sz w:val="18"/>
                <w:szCs w:val="18"/>
              </w:rPr>
              <w:t xml:space="preserve">关键动作</w:t>
            </w:r>
          </w:p>
        </w:tc>
      </w:tr>
      <w:tr>
        <w:tc>
          <w:tcPr>
            <w:tcW w:type="dxa" w:w="13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预热期</w:t>
            </w:r>
          </w:p>
        </w:tc>
        <w:tc>
          <w:tcPr>
            <w:tcW w:type="dxa" w:w="27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9 月底 – 10 月 7 日</w:t>
            </w:r>
          </w:p>
        </w:tc>
        <w:tc>
          <w:tcPr>
            <w:tcW w:type="dxa" w:w="255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早鸟票、万圣节预热</w:t>
            </w:r>
          </w:p>
        </w:tc>
        <w:tc>
          <w:tcPr>
            <w:tcW w:type="dxa" w:w="255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票种上架、素材统一、渠道开投；建立 ROI 日报</w:t>
            </w:r>
          </w:p>
        </w:tc>
      </w:tr>
      <w:tr>
        <w:tc>
          <w:tcPr>
            <w:tcW w:type="dxa" w:w="13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主推期</w:t>
            </w:r>
          </w:p>
        </w:tc>
        <w:tc>
          <w:tcPr>
            <w:tcW w:type="dxa" w:w="27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10 月 8 日 – 10 月 26 日</w:t>
            </w:r>
          </w:p>
        </w:tc>
        <w:tc>
          <w:tcPr>
            <w:tcW w:type="dxa" w:w="255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亲子场、夜场、变装巡游</w:t>
            </w:r>
          </w:p>
        </w:tc>
        <w:tc>
          <w:tcPr>
            <w:tcW w:type="dxa" w:w="255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10/8 复盘后释放预算；强化亲子场与夜场分场</w:t>
            </w:r>
          </w:p>
        </w:tc>
      </w:tr>
      <w:tr>
        <w:tc>
          <w:tcPr>
            <w:tcW w:type="dxa" w:w="13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峰值期</w:t>
            </w:r>
          </w:p>
        </w:tc>
        <w:tc>
          <w:tcPr>
            <w:tcW w:type="dxa" w:w="27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10 月 27 日 – 10 月 31 日</w:t>
            </w:r>
          </w:p>
        </w:tc>
        <w:tc>
          <w:tcPr>
            <w:tcW w:type="dxa" w:w="255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夜场派对、变装大赛</w:t>
            </w:r>
          </w:p>
        </w:tc>
        <w:tc>
          <w:tcPr>
            <w:tcW w:type="dxa" w:w="255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全部 NPC、巡游、鬼屋、夜场派对上齐；限流预案待命</w:t>
            </w:r>
          </w:p>
        </w:tc>
      </w:tr>
    </w:tbl>
    <w:p>
      <w:pPr>
        <w:pStyle w:val="Heading2"/>
        <w:spacing w:after="80" w:before="220"/>
      </w:pPr>
      <w:r>
        <w:rPr>
          <w:rFonts w:ascii="Times New Roman" w:eastAsia="微软雅黑" w:hAnsi="Times New Roman" w:cs="Times New Roman"/>
          <w:b w:val="1"/>
          <w:bCs/>
          <w:color w:val="000000"/>
          <w:sz w:val="28"/>
          <w:szCs w:val="28"/>
        </w:rPr>
        <w:t xml:space="preserve">执行卡 2｜渠道执行要求</w:t>
      </w:r>
    </w:p>
    <w:tbl>
      <w:tblPr>
        <w:tblW w:type="dxa" w:w="9184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top w:w="40" w:type="dxa"/>
          <w:left w:w="108" w:type="dxa"/>
          <w:bottom w:w="40" w:type="dxa"/>
          <w:right w:w="108" w:type="dxa"/>
        </w:tblCellMar>
      </w:tblPr>
      <w:tblGrid>
        <w:gridCol w:w="1531"/>
        <w:gridCol w:w="3061"/>
        <w:gridCol w:w="2449"/>
        <w:gridCol w:w="2143"/>
      </w:tblGrid>
      <w:tr>
        <w:trPr>
          <w:tblHeader/>
        </w:trPr>
        <w:tc>
          <w:tcPr>
            <w:tcW w:type="dxa" w:w="15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b w:val="1"/>
                <w:bCs/>
                <w:color w:val="000000"/>
                <w:sz w:val="18"/>
                <w:szCs w:val="18"/>
              </w:rPr>
              <w:t xml:space="preserve">渠道</w:t>
            </w:r>
          </w:p>
        </w:tc>
        <w:tc>
          <w:tcPr>
            <w:tcW w:type="dxa" w:w="306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b w:val="1"/>
                <w:bCs/>
                <w:color w:val="000000"/>
                <w:sz w:val="18"/>
                <w:szCs w:val="18"/>
              </w:rPr>
              <w:t xml:space="preserve">执行动作</w:t>
            </w:r>
          </w:p>
        </w:tc>
        <w:tc>
          <w:tcPr>
            <w:tcW w:type="dxa" w:w="244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b w:val="1"/>
                <w:bCs/>
                <w:color w:val="000000"/>
                <w:sz w:val="18"/>
                <w:szCs w:val="18"/>
              </w:rPr>
              <w:t xml:space="preserve">素材要求</w:t>
            </w:r>
          </w:p>
        </w:tc>
        <w:tc>
          <w:tcPr>
            <w:tcW w:type="dxa" w:w="214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b w:val="1"/>
                <w:bCs/>
                <w:color w:val="000000"/>
                <w:sz w:val="18"/>
                <w:szCs w:val="18"/>
              </w:rPr>
              <w:t xml:space="preserve">考核</w:t>
            </w:r>
          </w:p>
        </w:tc>
      </w:tr>
      <w:tr>
        <w:tc>
          <w:tcPr>
            <w:tcW w:type="dxa" w:w="15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抖音</w:t>
            </w:r>
          </w:p>
        </w:tc>
        <w:tc>
          <w:tcPr>
            <w:tcW w:type="dxa" w:w="306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直播 + 团购；每场直播挂对应票种</w:t>
            </w:r>
          </w:p>
        </w:tc>
        <w:tc>
          <w:tcPr>
            <w:tcW w:type="dxa" w:w="244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惊悚场与亲子场分开素材</w:t>
            </w:r>
          </w:p>
        </w:tc>
        <w:tc>
          <w:tcPr>
            <w:tcW w:type="dxa" w:w="214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核销 GMV、ROI</w:t>
            </w:r>
          </w:p>
        </w:tc>
      </w:tr>
      <w:tr>
        <w:tc>
          <w:tcPr>
            <w:tcW w:type="dxa" w:w="15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美团</w:t>
            </w:r>
          </w:p>
        </w:tc>
        <w:tc>
          <w:tcPr>
            <w:tcW w:type="dxa" w:w="306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爆款票主推；首页资源位争取</w:t>
            </w:r>
          </w:p>
        </w:tc>
        <w:tc>
          <w:tcPr>
            <w:tcW w:type="dxa" w:w="244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突出万圣节通票与夜场票</w:t>
            </w:r>
          </w:p>
        </w:tc>
        <w:tc>
          <w:tcPr>
            <w:tcW w:type="dxa" w:w="214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核销单量、ROI</w:t>
            </w:r>
          </w:p>
        </w:tc>
      </w:tr>
      <w:tr>
        <w:tc>
          <w:tcPr>
            <w:tcW w:type="dxa" w:w="15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小红书</w:t>
            </w:r>
          </w:p>
        </w:tc>
        <w:tc>
          <w:tcPr>
            <w:tcW w:type="dxa" w:w="306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打卡攻略；邀本地亲子号做实测笔记</w:t>
            </w:r>
          </w:p>
        </w:tc>
        <w:tc>
          <w:tcPr>
            <w:tcW w:type="dxa" w:w="244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亲子向内容为主</w:t>
            </w:r>
          </w:p>
        </w:tc>
        <w:tc>
          <w:tcPr>
            <w:tcW w:type="dxa" w:w="214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笔记量、到店核销</w:t>
            </w:r>
          </w:p>
        </w:tc>
      </w:tr>
      <w:tr>
        <w:tc>
          <w:tcPr>
            <w:tcW w:type="dxa" w:w="15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亲子社群 / 私域</w:t>
            </w:r>
          </w:p>
        </w:tc>
        <w:tc>
          <w:tcPr>
            <w:tcW w:type="dxa" w:w="306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拼团；老客专属券</w:t>
            </w:r>
          </w:p>
        </w:tc>
        <w:tc>
          <w:tcPr>
            <w:tcW w:type="dxa" w:w="244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家庭向、白天场</w:t>
            </w:r>
          </w:p>
        </w:tc>
        <w:tc>
          <w:tcPr>
            <w:tcW w:type="dxa" w:w="214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拼团成团数、复购</w:t>
            </w:r>
          </w:p>
        </w:tc>
      </w:tr>
      <w:tr>
        <w:tc>
          <w:tcPr>
            <w:tcW w:type="dxa" w:w="15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异业</w:t>
            </w:r>
          </w:p>
        </w:tc>
        <w:tc>
          <w:tcPr>
            <w:tcW w:type="dxa" w:w="306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商场、影院、学校周边联合推广</w:t>
            </w:r>
          </w:p>
        </w:tc>
        <w:tc>
          <w:tcPr>
            <w:tcW w:type="dxa" w:w="244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统一万圣节主题物料</w:t>
            </w:r>
          </w:p>
        </w:tc>
        <w:tc>
          <w:tcPr>
            <w:tcW w:type="dxa" w:w="214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合作点位、引流核销</w:t>
            </w:r>
          </w:p>
        </w:tc>
      </w:tr>
      <w:tr>
        <w:tc>
          <w:tcPr>
            <w:tcW w:type="dxa" w:w="15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KOC / 达人</w:t>
            </w:r>
          </w:p>
        </w:tc>
        <w:tc>
          <w:tcPr>
            <w:tcW w:type="dxa" w:w="306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本地亲子号为主，少量头部</w:t>
            </w:r>
          </w:p>
        </w:tc>
        <w:tc>
          <w:tcPr>
            <w:tcW w:type="dxa" w:w="244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按场次分别配素材</w:t>
            </w:r>
          </w:p>
        </w:tc>
        <w:tc>
          <w:tcPr>
            <w:tcW w:type="dxa" w:w="214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单条产出 ROI</w:t>
            </w:r>
          </w:p>
        </w:tc>
      </w:tr>
    </w:tbl>
    <w:p>
      <w:pPr>
        <w:pStyle w:val="Heading2"/>
        <w:spacing w:after="80" w:before="220"/>
      </w:pPr>
      <w:r>
        <w:rPr>
          <w:rFonts w:ascii="Times New Roman" w:eastAsia="微软雅黑" w:hAnsi="Times New Roman" w:cs="Times New Roman"/>
          <w:b w:val="1"/>
          <w:bCs/>
          <w:color w:val="000000"/>
          <w:sz w:val="28"/>
          <w:szCs w:val="28"/>
        </w:rPr>
        <w:t xml:space="preserve">执行卡 3｜票种上架表</w:t>
      </w:r>
    </w:p>
    <w:tbl>
      <w:tblPr>
        <w:tblW w:type="dxa" w:w="9184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top w:w="40" w:type="dxa"/>
          <w:left w:w="108" w:type="dxa"/>
          <w:bottom w:w="40" w:type="dxa"/>
          <w:right w:w="108" w:type="dxa"/>
        </w:tblCellMar>
      </w:tblPr>
      <w:tblGrid>
        <w:gridCol w:w="1531"/>
        <w:gridCol w:w="2245"/>
        <w:gridCol w:w="2653"/>
        <w:gridCol w:w="2755"/>
      </w:tblGrid>
      <w:tr>
        <w:trPr>
          <w:tblHeader/>
        </w:trPr>
        <w:tc>
          <w:tcPr>
            <w:tcW w:type="dxa" w:w="15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b w:val="1"/>
                <w:bCs/>
                <w:color w:val="000000"/>
                <w:sz w:val="18"/>
                <w:szCs w:val="18"/>
              </w:rPr>
              <w:t xml:space="preserve">票种</w:t>
            </w:r>
          </w:p>
        </w:tc>
        <w:tc>
          <w:tcPr>
            <w:tcW w:type="dxa" w:w="224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b w:val="1"/>
                <w:bCs/>
                <w:color w:val="000000"/>
                <w:sz w:val="18"/>
                <w:szCs w:val="18"/>
              </w:rPr>
              <w:t xml:space="preserve">适用人群</w:t>
            </w:r>
          </w:p>
        </w:tc>
        <w:tc>
          <w:tcPr>
            <w:tcW w:type="dxa" w:w="26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b w:val="1"/>
                <w:bCs/>
                <w:color w:val="000000"/>
                <w:sz w:val="18"/>
                <w:szCs w:val="18"/>
              </w:rPr>
              <w:t xml:space="preserve">价格策略</w:t>
            </w:r>
          </w:p>
        </w:tc>
        <w:tc>
          <w:tcPr>
            <w:tcW w:type="dxa" w:w="27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b w:val="1"/>
                <w:bCs/>
                <w:color w:val="000000"/>
                <w:sz w:val="18"/>
                <w:szCs w:val="18"/>
              </w:rPr>
              <w:t xml:space="preserve">备注</w:t>
            </w:r>
          </w:p>
        </w:tc>
      </w:tr>
      <w:tr>
        <w:tc>
          <w:tcPr>
            <w:tcW w:type="dxa" w:w="15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早鸟票</w:t>
            </w:r>
          </w:p>
        </w:tc>
        <w:tc>
          <w:tcPr>
            <w:tcW w:type="dxa" w:w="224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预热期预购客群</w:t>
            </w:r>
          </w:p>
        </w:tc>
        <w:tc>
          <w:tcPr>
            <w:tcW w:type="dxa" w:w="26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低于正价，限量限时</w:t>
            </w:r>
          </w:p>
        </w:tc>
        <w:tc>
          <w:tcPr>
            <w:tcW w:type="dxa" w:w="27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仅预热期售卖</w:t>
            </w:r>
          </w:p>
        </w:tc>
      </w:tr>
      <w:tr>
        <w:tc>
          <w:tcPr>
            <w:tcW w:type="dxa" w:w="15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夜场票</w:t>
            </w:r>
          </w:p>
        </w:tc>
        <w:tc>
          <w:tcPr>
            <w:tcW w:type="dxa" w:w="224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夜间客群 / 年轻人</w:t>
            </w:r>
          </w:p>
        </w:tc>
        <w:tc>
          <w:tcPr>
            <w:tcW w:type="dxa" w:w="26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单独定价，不与日场通兑</w:t>
            </w:r>
          </w:p>
        </w:tc>
        <w:tc>
          <w:tcPr>
            <w:tcW w:type="dxa" w:w="27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夜场占比目标提升（9 月仅 15%）</w:t>
            </w:r>
          </w:p>
        </w:tc>
      </w:tr>
      <w:tr>
        <w:tc>
          <w:tcPr>
            <w:tcW w:type="dxa" w:w="15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双人票</w:t>
            </w:r>
          </w:p>
        </w:tc>
        <w:tc>
          <w:tcPr>
            <w:tcW w:type="dxa" w:w="224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情侣 / 朋友</w:t>
            </w:r>
          </w:p>
        </w:tc>
        <w:tc>
          <w:tcPr>
            <w:tcW w:type="dxa" w:w="26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组合优惠</w:t>
            </w:r>
          </w:p>
        </w:tc>
        <w:tc>
          <w:tcPr>
            <w:tcW w:type="dxa" w:w="27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提升客单</w:t>
            </w:r>
          </w:p>
        </w:tc>
      </w:tr>
      <w:tr>
        <w:tc>
          <w:tcPr>
            <w:tcW w:type="dxa" w:w="15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亲子套票</w:t>
            </w:r>
          </w:p>
        </w:tc>
        <w:tc>
          <w:tcPr>
            <w:tcW w:type="dxa" w:w="224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家庭客群</w:t>
            </w:r>
          </w:p>
        </w:tc>
        <w:tc>
          <w:tcPr>
            <w:tcW w:type="dxa" w:w="26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含 1 大 1 小或 2 大 1 小</w:t>
            </w:r>
          </w:p>
        </w:tc>
        <w:tc>
          <w:tcPr>
            <w:tcW w:type="dxa" w:w="27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绑定亲子场</w:t>
            </w:r>
          </w:p>
        </w:tc>
      </w:tr>
      <w:tr>
        <w:tc>
          <w:tcPr>
            <w:tcW w:type="dxa" w:w="15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学生票</w:t>
            </w:r>
          </w:p>
        </w:tc>
        <w:tc>
          <w:tcPr>
            <w:tcW w:type="dxa" w:w="224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学生群体</w:t>
            </w:r>
          </w:p>
        </w:tc>
        <w:tc>
          <w:tcPr>
            <w:tcW w:type="dxa" w:w="26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凭证件购买</w:t>
            </w:r>
          </w:p>
        </w:tc>
        <w:tc>
          <w:tcPr>
            <w:tcW w:type="dxa" w:w="27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淡时段引流</w:t>
            </w:r>
          </w:p>
        </w:tc>
      </w:tr>
      <w:tr>
        <w:tc>
          <w:tcPr>
            <w:tcW w:type="dxa" w:w="153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万圣节通票</w:t>
            </w:r>
          </w:p>
        </w:tc>
        <w:tc>
          <w:tcPr>
            <w:tcW w:type="dxa" w:w="224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全天通玩客群</w:t>
            </w:r>
          </w:p>
        </w:tc>
        <w:tc>
          <w:tcPr>
            <w:tcW w:type="dxa" w:w="265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全价，含夜场</w:t>
            </w:r>
          </w:p>
        </w:tc>
        <w:tc>
          <w:tcPr>
            <w:tcW w:type="dxa" w:w="27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峰值期主推</w:t>
            </w:r>
          </w:p>
        </w:tc>
      </w:tr>
    </w:tbl>
    <w:p>
      <w:pPr>
        <w:pStyle w:val="ListParagraph"/>
        <w:numPr>
          <w:ilvl w:val="0"/>
          <w:numId w:val="2"/>
        </w:numPr>
        <w:spacing w:after="40" w:before="20" w:line="320"/>
        <w:jc w:val="both"/>
      </w:pPr>
      <w:r>
        <w:rPr>
          <w:rFonts w:ascii="Times New Roman" w:eastAsia="宋体" w:hAnsi="Times New Roman" w:cs="Times New Roman"/>
          <w:sz w:val="21"/>
          <w:szCs w:val="21"/>
          <w:color w:val="000000"/>
        </w:rPr>
        <w:t xml:space="preserve">价格纪律：价格分层，不做全线打折。</w:t>
      </w:r>
    </w:p>
    <w:p>
      <w:pPr>
        <w:pStyle w:val="ListParagraph"/>
        <w:numPr>
          <w:ilvl w:val="0"/>
          <w:numId w:val="2"/>
        </w:numPr>
        <w:spacing w:after="40" w:before="20" w:line="320"/>
        <w:jc w:val="both"/>
      </w:pPr>
      <w:r>
        <w:rPr>
          <w:rFonts w:ascii="Times New Roman" w:eastAsia="宋体" w:hAnsi="Times New Roman" w:cs="Times New Roman"/>
          <w:sz w:val="21"/>
          <w:szCs w:val="21"/>
          <w:color w:val="000000"/>
        </w:rPr>
        <w:t xml:space="preserve">会员与季卡：给专属通道，与普通票区隔。</w:t>
      </w:r>
    </w:p>
    <w:p>
      <w:pPr>
        <w:pStyle w:val="Heading2"/>
        <w:spacing w:after="80" w:before="220"/>
      </w:pPr>
      <w:r>
        <w:rPr>
          <w:rFonts w:ascii="Times New Roman" w:eastAsia="微软雅黑" w:hAnsi="Times New Roman" w:cs="Times New Roman"/>
          <w:b w:val="1"/>
          <w:bCs/>
          <w:color w:val="000000"/>
          <w:sz w:val="28"/>
          <w:szCs w:val="28"/>
        </w:rPr>
        <w:t xml:space="preserve">执行卡 4｜场次分设卡（硬性）</w:t>
      </w:r>
    </w:p>
    <w:tbl>
      <w:tblPr>
        <w:tblW w:type="dxa" w:w="9184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top w:w="40" w:type="dxa"/>
          <w:left w:w="108" w:type="dxa"/>
          <w:bottom w:w="40" w:type="dxa"/>
          <w:right w:w="108" w:type="dxa"/>
        </w:tblCellMar>
      </w:tblPr>
      <w:tblGrid>
        <w:gridCol w:w="1428"/>
        <w:gridCol w:w="3878"/>
        <w:gridCol w:w="3878"/>
      </w:tblGrid>
      <w:tr>
        <w:trPr>
          <w:tblHeader/>
        </w:trPr>
        <w:tc>
          <w:tcPr>
            <w:tcW w:type="dxa" w:w="14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b w:val="1"/>
                <w:bCs/>
                <w:color w:val="000000"/>
                <w:sz w:val="18"/>
                <w:szCs w:val="18"/>
              </w:rPr>
              <w:t xml:space="preserve">项目</w:t>
            </w:r>
          </w:p>
        </w:tc>
        <w:tc>
          <w:tcPr>
            <w:tcW w:type="dxa" w:w="38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b w:val="1"/>
                <w:bCs/>
                <w:color w:val="000000"/>
                <w:sz w:val="18"/>
                <w:szCs w:val="18"/>
              </w:rPr>
              <w:t xml:space="preserve">亲子场</w:t>
            </w:r>
          </w:p>
        </w:tc>
        <w:tc>
          <w:tcPr>
            <w:tcW w:type="dxa" w:w="38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b w:val="1"/>
                <w:bCs/>
                <w:color w:val="000000"/>
                <w:sz w:val="18"/>
                <w:szCs w:val="18"/>
              </w:rPr>
              <w:t xml:space="preserve">惊悚场</w:t>
            </w:r>
          </w:p>
        </w:tc>
      </w:tr>
      <w:tr>
        <w:tc>
          <w:tcPr>
            <w:tcW w:type="dxa" w:w="14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时段</w:t>
            </w:r>
          </w:p>
        </w:tc>
        <w:tc>
          <w:tcPr>
            <w:tcW w:type="dxa" w:w="38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周末下午</w:t>
            </w:r>
          </w:p>
        </w:tc>
        <w:tc>
          <w:tcPr>
            <w:tcW w:type="dxa" w:w="38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晚上</w:t>
            </w:r>
          </w:p>
        </w:tc>
      </w:tr>
      <w:tr>
        <w:tc>
          <w:tcPr>
            <w:tcW w:type="dxa" w:w="14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内容</w:t>
            </w:r>
          </w:p>
        </w:tc>
        <w:tc>
          <w:tcPr>
            <w:tcW w:type="dxa" w:w="38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NPC 友好互动、讨糖、南瓜打卡</w:t>
            </w:r>
          </w:p>
        </w:tc>
        <w:tc>
          <w:tcPr>
            <w:tcW w:type="dxa" w:w="38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鬼屋惊悚版、夜场派对</w:t>
            </w:r>
          </w:p>
        </w:tc>
      </w:tr>
      <w:tr>
        <w:tc>
          <w:tcPr>
            <w:tcW w:type="dxa" w:w="14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NPC 规则</w:t>
            </w:r>
          </w:p>
        </w:tc>
        <w:tc>
          <w:tcPr>
            <w:tcW w:type="dxa" w:w="38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12 岁以下不追、不拉、不贴脸</w:t>
            </w:r>
          </w:p>
        </w:tc>
        <w:tc>
          <w:tcPr>
            <w:tcW w:type="dxa" w:w="38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同上，且入口立牌明示惊悚等级</w:t>
            </w:r>
          </w:p>
        </w:tc>
      </w:tr>
      <w:tr>
        <w:tc>
          <w:tcPr>
            <w:tcW w:type="dxa" w:w="14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素材</w:t>
            </w:r>
          </w:p>
        </w:tc>
        <w:tc>
          <w:tcPr>
            <w:tcW w:type="dxa" w:w="38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家庭向、明亮</w:t>
            </w:r>
          </w:p>
        </w:tc>
        <w:tc>
          <w:tcPr>
            <w:tcW w:type="dxa" w:w="38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暗调、惊悚</w:t>
            </w:r>
          </w:p>
        </w:tc>
      </w:tr>
      <w:tr>
        <w:tc>
          <w:tcPr>
            <w:tcW w:type="dxa" w:w="14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入口</w:t>
            </w:r>
          </w:p>
        </w:tc>
        <w:tc>
          <w:tcPr>
            <w:tcW w:type="dxa" w:w="38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分区进入，立牌写清版本</w:t>
            </w:r>
          </w:p>
        </w:tc>
        <w:tc>
          <w:tcPr>
            <w:tcW w:type="dxa" w:w="38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分区进入，立牌写清版本</w:t>
            </w:r>
          </w:p>
        </w:tc>
      </w:tr>
    </w:tbl>
    <w:p>
      <w:pPr>
        <w:spacing w:after="100" w:before="60" w:line="300"/>
      </w:pPr>
      <w:r>
        <w:rPr>
          <w:rFonts w:ascii="Times New Roman" w:eastAsia="宋体" w:hAnsi="Times New Roman" w:cs="Times New Roman"/>
          <w:color w:val="000000"/>
          <w:sz w:val="21"/>
          <w:szCs w:val="21"/>
        </w:rPr>
        <w:t xml:space="preserve">9 月教训：亲子与惊悚混场导致小孩吓哭、年轻人又嫌不吓人。10 月必须分开——素材分开、场次分开、入口分开。</w:t>
      </w:r>
    </w:p>
    <w:p>
      <w:pPr>
        <w:pStyle w:val="Heading2"/>
        <w:spacing w:after="80" w:before="220"/>
      </w:pPr>
      <w:r>
        <w:rPr>
          <w:rFonts w:ascii="Times New Roman" w:eastAsia="微软雅黑" w:hAnsi="Times New Roman" w:cs="Times New Roman"/>
          <w:b w:val="1"/>
          <w:bCs/>
          <w:color w:val="000000"/>
          <w:sz w:val="28"/>
          <w:szCs w:val="28"/>
        </w:rPr>
        <w:t xml:space="preserve">执行卡 5｜备货与二销卡</w:t>
      </w:r>
    </w:p>
    <w:tbl>
      <w:tblPr>
        <w:tblW w:type="dxa" w:w="9184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top w:w="40" w:type="dxa"/>
          <w:left w:w="108" w:type="dxa"/>
          <w:bottom w:w="40" w:type="dxa"/>
          <w:right w:w="108" w:type="dxa"/>
        </w:tblCellMar>
      </w:tblPr>
      <w:tblGrid>
        <w:gridCol w:w="1734"/>
        <w:gridCol w:w="3674"/>
        <w:gridCol w:w="3776"/>
      </w:tblGrid>
      <w:tr>
        <w:trPr>
          <w:tblHeader/>
        </w:trPr>
        <w:tc>
          <w:tcPr>
            <w:tcW w:type="dxa" w:w="173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b w:val="1"/>
                <w:bCs/>
                <w:color w:val="000000"/>
                <w:sz w:val="18"/>
                <w:szCs w:val="18"/>
              </w:rPr>
              <w:t xml:space="preserve">项目</w:t>
            </w:r>
          </w:p>
        </w:tc>
        <w:tc>
          <w:tcPr>
            <w:tcW w:type="dxa" w:w="367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b w:val="1"/>
                <w:bCs/>
                <w:color w:val="000000"/>
                <w:sz w:val="18"/>
                <w:szCs w:val="18"/>
              </w:rPr>
              <w:t xml:space="preserve">动作</w:t>
            </w:r>
          </w:p>
        </w:tc>
        <w:tc>
          <w:tcPr>
            <w:tcW w:type="dxa" w:w="37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b w:val="1"/>
                <w:bCs/>
                <w:color w:val="000000"/>
                <w:sz w:val="18"/>
                <w:szCs w:val="18"/>
              </w:rPr>
              <w:t xml:space="preserve">标准</w:t>
            </w:r>
          </w:p>
        </w:tc>
      </w:tr>
      <w:tr>
        <w:tc>
          <w:tcPr>
            <w:tcW w:type="dxa" w:w="173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周末备货</w:t>
            </w:r>
          </w:p>
        </w:tc>
        <w:tc>
          <w:tcPr>
            <w:tcW w:type="dxa" w:w="367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万圣节商品备货至少翻倍</w:t>
            </w:r>
          </w:p>
        </w:tc>
        <w:tc>
          <w:tcPr>
            <w:tcW w:type="dxa" w:w="37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周末无主力商品断货</w:t>
            </w:r>
          </w:p>
        </w:tc>
      </w:tr>
      <w:tr>
        <w:tc>
          <w:tcPr>
            <w:tcW w:type="dxa" w:w="173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夜场配货</w:t>
            </w:r>
          </w:p>
        </w:tc>
        <w:tc>
          <w:tcPr>
            <w:tcW w:type="dxa" w:w="367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夜场单独配货，不从日场调拨</w:t>
            </w:r>
          </w:p>
        </w:tc>
        <w:tc>
          <w:tcPr>
            <w:tcW w:type="dxa" w:w="37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夜场商品不断档</w:t>
            </w:r>
          </w:p>
        </w:tc>
      </w:tr>
      <w:tr>
        <w:tc>
          <w:tcPr>
            <w:tcW w:type="dxa" w:w="173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库存纪律</w:t>
            </w:r>
          </w:p>
        </w:tc>
        <w:tc>
          <w:tcPr>
            <w:tcW w:type="dxa" w:w="367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万圣节后不再进货</w:t>
            </w:r>
          </w:p>
        </w:tc>
        <w:tc>
          <w:tcPr>
            <w:tcW w:type="dxa" w:w="37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活动结束无显著滞销</w:t>
            </w:r>
          </w:p>
        </w:tc>
      </w:tr>
      <w:tr>
        <w:tc>
          <w:tcPr>
            <w:tcW w:type="dxa" w:w="173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餐饮</w:t>
            </w:r>
          </w:p>
        </w:tc>
        <w:tc>
          <w:tcPr>
            <w:tcW w:type="dxa" w:w="367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上预点单；万圣节套餐提前装袋</w:t>
            </w:r>
          </w:p>
        </w:tc>
        <w:tc>
          <w:tcPr>
            <w:tcW w:type="dxa" w:w="37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周末餐饮排队 ≤15 分钟</w:t>
            </w:r>
          </w:p>
        </w:tc>
      </w:tr>
      <w:tr>
        <w:tc>
          <w:tcPr>
            <w:tcW w:type="dxa" w:w="173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二销增项</w:t>
            </w:r>
          </w:p>
        </w:tc>
        <w:tc>
          <w:tcPr>
            <w:tcW w:type="dxa" w:w="367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鬼屋拍照、化妆摊位（过程付费变装）、排队区互动</w:t>
            </w:r>
          </w:p>
        </w:tc>
        <w:tc>
          <w:tcPr>
            <w:tcW w:type="dxa" w:w="37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人均二销由 14.4 元提升至 18.2 元</w:t>
            </w:r>
          </w:p>
        </w:tc>
      </w:tr>
    </w:tbl>
    <w:p>
      <w:pPr>
        <w:pStyle w:val="Heading2"/>
        <w:spacing w:after="80" w:before="220"/>
      </w:pPr>
      <w:r>
        <w:rPr>
          <w:rFonts w:ascii="Times New Roman" w:eastAsia="微软雅黑" w:hAnsi="Times New Roman" w:cs="Times New Roman"/>
          <w:b w:val="1"/>
          <w:bCs/>
          <w:color w:val="000000"/>
          <w:sz w:val="28"/>
          <w:szCs w:val="28"/>
        </w:rPr>
        <w:t xml:space="preserve">执行卡 6｜日报与周报模板</w:t>
      </w:r>
    </w:p>
    <w:p>
      <w:pPr>
        <w:pStyle w:val="Heading3"/>
        <w:spacing w:after="60" w:before="160"/>
      </w:pPr>
      <w:r>
        <w:rPr>
          <w:rFonts w:ascii="Times New Roman" w:eastAsia="微软雅黑" w:hAnsi="Times New Roman" w:cs="Times New Roman"/>
          <w:b w:val="1"/>
          <w:bCs/>
          <w:color w:val="000000"/>
          <w:sz w:val="24"/>
          <w:szCs w:val="24"/>
        </w:rPr>
        <w:t xml:space="preserve">6.1 渠道 ROI 日报（每日发群）</w:t>
      </w:r>
    </w:p>
    <w:p>
      <w:pPr>
        <w:pStyle w:val="ListParagraph"/>
        <w:numPr>
          <w:ilvl w:val="0"/>
          <w:numId w:val="2"/>
        </w:numPr>
        <w:spacing w:after="40" w:before="20" w:line="320"/>
        <w:jc w:val="both"/>
      </w:pPr>
      <w:r>
        <w:rPr>
          <w:rFonts w:ascii="Times New Roman" w:eastAsia="宋体" w:hAnsi="Times New Roman" w:cs="Times New Roman"/>
          <w:sz w:val="21"/>
          <w:szCs w:val="21"/>
          <w:color w:val="000000"/>
        </w:rPr>
        <w:t xml:space="preserve">日期 / 渠道 / 当日投放费用 / 当日核销 GMV（门票 + 二销）/ 当日 ROI / 累计 ROI</w:t>
      </w:r>
    </w:p>
    <w:p>
      <w:pPr>
        <w:pStyle w:val="ListParagraph"/>
        <w:numPr>
          <w:ilvl w:val="0"/>
          <w:numId w:val="2"/>
        </w:numPr>
        <w:spacing w:after="40" w:before="20" w:line="320"/>
        <w:jc w:val="both"/>
      </w:pPr>
      <w:r>
        <w:rPr>
          <w:rFonts w:ascii="Times New Roman" w:eastAsia="宋体" w:hAnsi="Times New Roman" w:cs="Times New Roman"/>
          <w:sz w:val="21"/>
          <w:szCs w:val="21"/>
          <w:color w:val="000000"/>
        </w:rPr>
        <w:t xml:space="preserve">异常标记：单渠道累计 ROI 低于 1:3 的，标红提示</w:t>
      </w:r>
    </w:p>
    <w:p>
      <w:pPr>
        <w:pStyle w:val="ListParagraph"/>
        <w:numPr>
          <w:ilvl w:val="0"/>
          <w:numId w:val="2"/>
        </w:numPr>
        <w:spacing w:after="40" w:before="20" w:line="320"/>
        <w:jc w:val="both"/>
      </w:pPr>
      <w:r>
        <w:rPr>
          <w:rFonts w:ascii="Times New Roman" w:eastAsia="宋体" w:hAnsi="Times New Roman" w:cs="Times New Roman"/>
          <w:sz w:val="21"/>
          <w:szCs w:val="21"/>
          <w:color w:val="000000"/>
        </w:rPr>
        <w:t xml:space="preserve">出口人：市场主管</w:t>
      </w:r>
    </w:p>
    <w:p>
      <w:pPr>
        <w:pStyle w:val="Heading3"/>
        <w:spacing w:after="60" w:before="160"/>
      </w:pPr>
      <w:r>
        <w:rPr>
          <w:rFonts w:ascii="Times New Roman" w:eastAsia="微软雅黑" w:hAnsi="Times New Roman" w:cs="Times New Roman"/>
          <w:b w:val="1"/>
          <w:bCs/>
          <w:color w:val="000000"/>
          <w:sz w:val="24"/>
          <w:szCs w:val="24"/>
        </w:rPr>
        <w:t xml:space="preserve">6.2 每周复盘议程（每周一）</w:t>
      </w:r>
    </w:p>
    <w:p>
      <w:pPr>
        <w:pStyle w:val="ListParagraph"/>
        <w:numPr>
          <w:ilvl w:val="0"/>
          <w:numId w:val="2"/>
        </w:numPr>
        <w:spacing w:after="40" w:before="20" w:line="320"/>
        <w:jc w:val="both"/>
      </w:pPr>
      <w:r>
        <w:rPr>
          <w:rFonts w:ascii="Times New Roman" w:eastAsia="宋体" w:hAnsi="Times New Roman" w:cs="Times New Roman"/>
          <w:sz w:val="21"/>
          <w:szCs w:val="21"/>
          <w:color w:val="000000"/>
        </w:rPr>
        <w:t xml:space="preserve">上周各渠道 ROI 与核销数据回看</w:t>
      </w:r>
    </w:p>
    <w:p>
      <w:pPr>
        <w:pStyle w:val="ListParagraph"/>
        <w:numPr>
          <w:ilvl w:val="0"/>
          <w:numId w:val="2"/>
        </w:numPr>
        <w:spacing w:after="40" w:before="20" w:line="320"/>
        <w:jc w:val="both"/>
      </w:pPr>
      <w:r>
        <w:rPr>
          <w:rFonts w:ascii="Times New Roman" w:eastAsia="宋体" w:hAnsi="Times New Roman" w:cs="Times New Roman"/>
          <w:sz w:val="21"/>
          <w:szCs w:val="21"/>
          <w:color w:val="000000"/>
        </w:rPr>
        <w:t xml:space="preserve">未达标渠道处理决定（维持 / 减投 / 停投）</w:t>
      </w:r>
    </w:p>
    <w:p>
      <w:pPr>
        <w:pStyle w:val="ListParagraph"/>
        <w:numPr>
          <w:ilvl w:val="0"/>
          <w:numId w:val="2"/>
        </w:numPr>
        <w:spacing w:after="40" w:before="20" w:line="320"/>
        <w:jc w:val="both"/>
      </w:pPr>
      <w:r>
        <w:rPr>
          <w:rFonts w:ascii="Times New Roman" w:eastAsia="宋体" w:hAnsi="Times New Roman" w:cs="Times New Roman"/>
          <w:sz w:val="21"/>
          <w:szCs w:val="21"/>
          <w:color w:val="000000"/>
        </w:rPr>
        <w:t xml:space="preserve">本周素材与投放计划确认</w:t>
      </w:r>
    </w:p>
    <w:p>
      <w:pPr>
        <w:pStyle w:val="ListParagraph"/>
        <w:numPr>
          <w:ilvl w:val="0"/>
          <w:numId w:val="2"/>
        </w:numPr>
        <w:spacing w:after="40" w:before="20" w:line="320"/>
        <w:jc w:val="both"/>
      </w:pPr>
      <w:r>
        <w:rPr>
          <w:rFonts w:ascii="Times New Roman" w:eastAsia="宋体" w:hAnsi="Times New Roman" w:cs="Times New Roman"/>
          <w:sz w:val="21"/>
          <w:szCs w:val="21"/>
          <w:color w:val="000000"/>
        </w:rPr>
        <w:t xml:space="preserve">预算执行进度与超预算预警</w:t>
      </w:r>
    </w:p>
    <w:p>
      <w:pPr>
        <w:pStyle w:val="ListParagraph"/>
        <w:numPr>
          <w:ilvl w:val="0"/>
          <w:numId w:val="2"/>
        </w:numPr>
        <w:spacing w:after="40" w:before="20" w:line="320"/>
        <w:jc w:val="both"/>
      </w:pPr>
      <w:r>
        <w:rPr>
          <w:rFonts w:ascii="Times New Roman" w:eastAsia="宋体" w:hAnsi="Times New Roman" w:cs="Times New Roman"/>
          <w:sz w:val="21"/>
          <w:szCs w:val="21"/>
          <w:color w:val="000000"/>
        </w:rPr>
        <w:t xml:space="preserve">客诉与现场问题联动（与客诉整改报告对齐）</w:t>
      </w:r>
    </w:p>
    <w:p>
      <w:pPr>
        <w:pStyle w:val="Heading2"/>
        <w:spacing w:after="80" w:before="220"/>
      </w:pPr>
      <w:r>
        <w:rPr>
          <w:rFonts w:ascii="Times New Roman" w:eastAsia="微软雅黑" w:hAnsi="Times New Roman" w:cs="Times New Roman"/>
          <w:b w:val="1"/>
          <w:bCs/>
          <w:color w:val="000000"/>
          <w:sz w:val="28"/>
          <w:szCs w:val="28"/>
        </w:rPr>
        <w:t xml:space="preserve">执行卡 7｜关键节点倒排表</w:t>
      </w:r>
    </w:p>
    <w:tbl>
      <w:tblPr>
        <w:tblW w:type="dxa" w:w="9184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top w:w="40" w:type="dxa"/>
          <w:left w:w="108" w:type="dxa"/>
          <w:bottom w:w="40" w:type="dxa"/>
          <w:right w:w="108" w:type="dxa"/>
        </w:tblCellMar>
      </w:tblPr>
      <w:tblGrid>
        <w:gridCol w:w="1633"/>
        <w:gridCol w:w="5306"/>
        <w:gridCol w:w="2245"/>
      </w:tblGrid>
      <w:tr>
        <w:trPr>
          <w:tblHeader/>
        </w:trPr>
        <w:tc>
          <w:tcPr>
            <w:tcW w:type="dxa" w:w="163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b w:val="1"/>
                <w:bCs/>
                <w:color w:val="000000"/>
                <w:sz w:val="18"/>
                <w:szCs w:val="18"/>
              </w:rPr>
              <w:t xml:space="preserve">时间</w:t>
            </w:r>
          </w:p>
        </w:tc>
        <w:tc>
          <w:tcPr>
            <w:tcW w:type="dxa" w:w="53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b w:val="1"/>
                <w:bCs/>
                <w:color w:val="000000"/>
                <w:sz w:val="18"/>
                <w:szCs w:val="18"/>
              </w:rPr>
              <w:t xml:space="preserve">必须完成</w:t>
            </w:r>
          </w:p>
        </w:tc>
        <w:tc>
          <w:tcPr>
            <w:tcW w:type="dxa" w:w="224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after="20" w:before="20" w:line="280"/>
              <w:jc w:val="center"/>
            </w:pPr>
            <w:r>
              <w:rPr>
                <w:rFonts w:ascii="Times New Roman" w:eastAsia="宋体" w:hAnsi="Times New Roman" w:cs="Times New Roman"/>
                <w:b w:val="1"/>
                <w:bCs/>
                <w:color w:val="000000"/>
                <w:sz w:val="18"/>
                <w:szCs w:val="18"/>
              </w:rPr>
              <w:t xml:space="preserve">责任岗位</w:t>
            </w:r>
          </w:p>
        </w:tc>
      </w:tr>
      <w:tr>
        <w:tc>
          <w:tcPr>
            <w:tcW w:type="dxa" w:w="163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9 月底前</w:t>
            </w:r>
          </w:p>
        </w:tc>
        <w:tc>
          <w:tcPr>
            <w:tcW w:type="dxa" w:w="53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票种上架、素材统一、渠道开投、ROI 日报建立</w:t>
            </w:r>
          </w:p>
        </w:tc>
        <w:tc>
          <w:tcPr>
            <w:tcW w:type="dxa" w:w="224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市场主管 / 票务主管</w:t>
            </w:r>
          </w:p>
        </w:tc>
      </w:tr>
      <w:tr>
        <w:tc>
          <w:tcPr>
            <w:tcW w:type="dxa" w:w="163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10 月 1 日前</w:t>
            </w:r>
          </w:p>
        </w:tc>
        <w:tc>
          <w:tcPr>
            <w:tcW w:type="dxa" w:w="53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夜场地灯、巡游改线、鬼屋分级、NPC 培训、套票核销简化、对讲机到位</w:t>
            </w:r>
          </w:p>
        </w:tc>
        <w:tc>
          <w:tcPr>
            <w:tcW w:type="dxa" w:w="224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工程 / 运营 / 票务 / 人力</w:t>
            </w:r>
          </w:p>
        </w:tc>
      </w:tr>
      <w:tr>
        <w:tc>
          <w:tcPr>
            <w:tcW w:type="dxa" w:w="163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10 月 8 日</w:t>
            </w:r>
          </w:p>
        </w:tc>
        <w:tc>
          <w:tcPr>
            <w:tcW w:type="dxa" w:w="53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预热期复盘并决定主推期预算释放</w:t>
            </w:r>
          </w:p>
        </w:tc>
        <w:tc>
          <w:tcPr>
            <w:tcW w:type="dxa" w:w="224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市场主管 / 财务</w:t>
            </w:r>
          </w:p>
        </w:tc>
      </w:tr>
      <w:tr>
        <w:tc>
          <w:tcPr>
            <w:tcW w:type="dxa" w:w="163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10 月 27 日</w:t>
            </w:r>
          </w:p>
        </w:tc>
        <w:tc>
          <w:tcPr>
            <w:tcW w:type="dxa" w:w="53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主推期复盘并决定峰值期释放</w:t>
            </w:r>
          </w:p>
        </w:tc>
        <w:tc>
          <w:tcPr>
            <w:tcW w:type="dxa" w:w="224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市场主管 / 财务</w:t>
            </w:r>
          </w:p>
        </w:tc>
      </w:tr>
      <w:tr>
        <w:tc>
          <w:tcPr>
            <w:tcW w:type="dxa" w:w="163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10 月 31 日</w:t>
            </w:r>
          </w:p>
        </w:tc>
        <w:tc>
          <w:tcPr>
            <w:tcW w:type="dxa" w:w="53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活动收尾；库存盘点；素材与达人效果沉淀</w:t>
            </w:r>
          </w:p>
        </w:tc>
        <w:tc>
          <w:tcPr>
            <w:tcW w:type="dxa" w:w="224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商品 / 市场</w:t>
            </w:r>
          </w:p>
        </w:tc>
      </w:tr>
      <w:tr>
        <w:tc>
          <w:tcPr>
            <w:tcW w:type="dxa" w:w="163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11 月初</w:t>
            </w:r>
          </w:p>
        </w:tc>
        <w:tc>
          <w:tcPr>
            <w:tcW w:type="dxa" w:w="53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全月复盘，输出下一年可复用清单</w:t>
            </w:r>
          </w:p>
        </w:tc>
        <w:tc>
          <w:tcPr>
            <w:tcW w:type="dxa" w:w="224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20" w:before="20" w:line="280"/>
              <w:jc w:val="left"/>
            </w:pPr>
            <w:r>
              <w:rPr>
                <w:rFonts w:ascii="Times New Roman" w:eastAsia="宋体" w:hAnsi="Times New Roman" w:cs="Times New Roman"/>
                <w:sz w:val="18"/>
                <w:szCs w:val="18"/>
                <w:color w:val="000000"/>
              </w:rPr>
              <w:t xml:space="preserve">市场主管</w:t>
            </w:r>
          </w:p>
        </w:tc>
      </w:tr>
    </w:tbl>
    <w:p>
      <w:pPr>
        <w:spacing w:before="320" w:after="160"/>
        <w:pBdr>
          <w:bottom w:val="single" w:sz="8" w:space="3" w:color="999999"/>
        </w:pBdr>
      </w:pPr>
      <w:r>
        <w:rPr>
          <w:rFonts w:ascii="Times New Roman" w:hAnsi="Times New Roman" w:eastAsia="宋体" w:cs="Times New Roman"/>
          <w:b/>
          <w:color w:val="000000"/>
          <w:sz w:val="21"/>
          <w:szCs w:val="21"/>
        </w:rPr>
        <w:t>修订记录</w:t>
      </w:r>
    </w:p>
    <w:tbl>
      <w:tblPr>
        <w:tblW w:type="dxa" w:w="9184"/>
        <w:tblLayout w:type="autofit"/>
        <w:tblLook w:firstColumn="1" w:firstRow="1" w:lastColumn="0" w:lastRow="0" w:noHBand="0" w:noVBand="1" w:val="04A0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top w:w="40" w:type="dxa"/>
          <w:left w:w="108" w:type="dxa"/>
          <w:bottom w:w="40" w:type="dxa"/>
          <w:right w:w="108" w:type="dxa"/>
        </w:tblCellMar>
      </w:tblPr>
      <w:tblGrid>
        <w:gridCol w:w="2296"/>
        <w:gridCol w:w="2296"/>
        <w:gridCol w:w="2296"/>
        <w:gridCol w:w="2296"/>
      </w:tblGrid>
      <w:tr>
        <w:tc>
          <w:tcPr>
            <w:tcW w:type="dxa" w:w="2296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cs="Times New Roman" w:eastAsia="宋体"/>
                <w:b w:val="1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eastAsia="宋体" w:cs="Times New Roman"/>
                <w:b w:val="1"/>
                <w:color w:val="000000"/>
                <w:sz w:val="18"/>
                <w:szCs w:val="18"/>
              </w:rPr>
              <w:t>版本</w:t>
            </w:r>
          </w:p>
        </w:tc>
        <w:tc>
          <w:tcPr>
            <w:tcW w:type="dxa" w:w="2296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cs="Times New Roman" w:eastAsia="宋体"/>
                <w:b w:val="1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eastAsia="宋体" w:cs="Times New Roman"/>
                <w:b w:val="1"/>
                <w:color w:val="000000"/>
                <w:sz w:val="18"/>
                <w:szCs w:val="18"/>
              </w:rPr>
              <w:t>日期</w:t>
            </w:r>
          </w:p>
        </w:tc>
        <w:tc>
          <w:tcPr>
            <w:tcW w:type="dxa" w:w="2296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cs="Times New Roman" w:eastAsia="宋体"/>
                <w:b w:val="1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eastAsia="宋体" w:cs="Times New Roman"/>
                <w:b w:val="1"/>
                <w:color w:val="000000"/>
                <w:sz w:val="18"/>
                <w:szCs w:val="18"/>
              </w:rPr>
              <w:t>修订内容</w:t>
            </w:r>
          </w:p>
        </w:tc>
        <w:tc>
          <w:tcPr>
            <w:tcW w:type="dxa" w:w="2296"/>
            <w:shd w:val="clear" w:color="auto" w:fill="E8EDF4"/>
            <w:tcBorders>
              <w:bottom w:val="single" w:sz="8" w:space="0" w:color="999999"/>
            </w:tcBorders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cs="Times New Roman" w:eastAsia="宋体"/>
                <w:b w:val="1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eastAsia="宋体" w:cs="Times New Roman"/>
                <w:b w:val="1"/>
                <w:color w:val="000000"/>
                <w:sz w:val="18"/>
                <w:szCs w:val="18"/>
              </w:rPr>
              <w:t>修订人</w:t>
            </w:r>
          </w:p>
        </w:tc>
      </w:tr>
      <w:tr>
        <w:tc>
          <w:tcPr>
            <w:tcW w:type="dxa" w:w="2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cs="Times New Roman" w:eastAsia="宋体"/>
                <w:sz w:val="18"/>
                <w:szCs w:val="18"/>
                <w:color w:val="000000"/>
              </w:rPr>
            </w:r>
            <w:r>
              <w:rPr>
                <w:rFonts w:ascii="Times New Roman" w:hAnsi="Times New Roman" w:eastAsia="宋体" w:cs="Times New Roman"/>
                <w:sz w:val="18"/>
                <w:szCs w:val="18"/>
                <w:color w:val="000000"/>
              </w:rPr>
              <w:t>V1.0</w:t>
            </w:r>
          </w:p>
        </w:tc>
        <w:tc>
          <w:tcPr>
            <w:tcW w:type="dxa" w:w="2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cs="Times New Roman" w:eastAsia="宋体"/>
                <w:sz w:val="18"/>
                <w:szCs w:val="18"/>
                <w:color w:val="000000"/>
              </w:rPr>
            </w:r>
            <w:r>
              <w:rPr>
                <w:rFonts w:ascii="Times New Roman" w:hAnsi="Times New Roman" w:eastAsia="宋体" w:cs="Times New Roman"/>
                <w:sz w:val="18"/>
                <w:szCs w:val="18"/>
                <w:color w:val="000000"/>
              </w:rPr>
              <w:t>2026-10-11</w:t>
            </w:r>
          </w:p>
        </w:tc>
        <w:tc>
          <w:tcPr>
            <w:tcW w:type="dxa" w:w="2296"/>
          </w:tcPr>
          <w:p>
            <w:pPr>
              <w:spacing w:before="20" w:after="20"/>
            </w:pPr>
            <w:r>
              <w:rPr>
                <w:rFonts w:ascii="Times New Roman" w:hAnsi="Times New Roman" w:cs="Times New Roman" w:eastAsia="宋体"/>
                <w:sz w:val="18"/>
                <w:szCs w:val="18"/>
                <w:color w:val="000000"/>
              </w:rPr>
            </w:r>
            <w:r>
              <w:rPr>
                <w:rFonts w:ascii="Times New Roman" w:hAnsi="Times New Roman" w:eastAsia="宋体" w:cs="Times New Roman"/>
                <w:sz w:val="18"/>
                <w:szCs w:val="18"/>
                <w:color w:val="000000"/>
              </w:rPr>
              <w:t>初稿：依据 9 月经营复盘与 10 月万圣节活动推广会议决议编制</w:t>
            </w:r>
          </w:p>
        </w:tc>
        <w:tc>
          <w:tcPr>
            <w:tcW w:type="dxa" w:w="2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cs="Times New Roman" w:eastAsia="宋体"/>
                <w:sz w:val="18"/>
                <w:szCs w:val="18"/>
                <w:color w:val="000000"/>
              </w:rPr>
            </w:r>
            <w:r>
              <w:rPr>
                <w:rFonts w:ascii="Times New Roman" w:hAnsi="Times New Roman" w:eastAsia="宋体" w:cs="Times New Roman"/>
                <w:sz w:val="18"/>
                <w:szCs w:val="18"/>
                <w:color w:val="000000"/>
              </w:rPr>
              <w:t>商业规划</w:t>
            </w:r>
          </w:p>
        </w:tc>
      </w:tr>
      <w:tr>
        <w:tc>
          <w:tcPr>
            <w:tcW w:type="dxa" w:w="2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cs="Times New Roman" w:eastAsia="宋体"/>
                <w:sz w:val="18"/>
                <w:szCs w:val="18"/>
                <w:color w:val="000000"/>
              </w:rPr>
            </w:r>
            <w:r>
              <w:rPr>
                <w:rFonts w:ascii="Times New Roman" w:hAnsi="Times New Roman" w:eastAsia="宋体" w:cs="Times New Roman"/>
                <w:sz w:val="18"/>
                <w:szCs w:val="18"/>
                <w:color w:val="000000"/>
              </w:rPr>
              <w:t>V1.1</w:t>
            </w:r>
          </w:p>
        </w:tc>
        <w:tc>
          <w:tcPr>
            <w:tcW w:type="dxa" w:w="2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cs="Times New Roman" w:eastAsia="宋体"/>
                <w:sz w:val="18"/>
                <w:szCs w:val="18"/>
                <w:color w:val="000000"/>
              </w:rPr>
            </w:r>
            <w:r>
              <w:rPr>
                <w:rFonts w:ascii="Times New Roman" w:hAnsi="Times New Roman" w:eastAsia="宋体" w:cs="Times New Roman"/>
                <w:sz w:val="18"/>
                <w:szCs w:val="18"/>
                <w:color w:val="000000"/>
              </w:rPr>
              <w:t>2026-10-11</w:t>
            </w:r>
          </w:p>
        </w:tc>
        <w:tc>
          <w:tcPr>
            <w:tcW w:type="dxa" w:w="2296"/>
          </w:tcPr>
          <w:p>
            <w:pPr>
              <w:spacing w:before="20" w:after="20"/>
            </w:pPr>
            <w:r>
              <w:rPr>
                <w:rFonts w:ascii="Times New Roman" w:hAnsi="Times New Roman" w:cs="Times New Roman" w:eastAsia="宋体"/>
                <w:sz w:val="18"/>
                <w:szCs w:val="18"/>
                <w:color w:val="000000"/>
              </w:rPr>
            </w:r>
            <w:r>
              <w:rPr>
                <w:rFonts w:ascii="Times New Roman" w:hAnsi="Times New Roman" w:eastAsia="宋体" w:cs="Times New Roman"/>
                <w:sz w:val="18"/>
                <w:szCs w:val="18"/>
                <w:color w:val="000000"/>
              </w:rPr>
              <w:t>ROI 口径补充为「止损线 1:3 + 各渠道目标 ROI」双尺子</w:t>
            </w:r>
          </w:p>
        </w:tc>
        <w:tc>
          <w:tcPr>
            <w:tcW w:type="dxa" w:w="2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cs="Times New Roman" w:eastAsia="宋体"/>
                <w:sz w:val="18"/>
                <w:szCs w:val="18"/>
                <w:color w:val="000000"/>
              </w:rPr>
            </w:r>
            <w:r>
              <w:rPr>
                <w:rFonts w:ascii="Times New Roman" w:hAnsi="Times New Roman" w:eastAsia="宋体" w:cs="Times New Roman"/>
                <w:sz w:val="18"/>
                <w:szCs w:val="18"/>
                <w:color w:val="000000"/>
              </w:rPr>
              <w:t>商业规划</w:t>
            </w:r>
          </w:p>
        </w:tc>
      </w:tr>
      <w:tr>
        <w:tc>
          <w:tcPr>
            <w:tcW w:type="dxa" w:w="2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cs="Times New Roman" w:eastAsia="宋体"/>
                <w:sz w:val="18"/>
                <w:szCs w:val="18"/>
                <w:color w:val="000000"/>
              </w:rPr>
            </w:r>
            <w:r>
              <w:rPr>
                <w:rFonts w:ascii="Times New Roman" w:hAnsi="Times New Roman" w:eastAsia="宋体" w:cs="Times New Roman"/>
                <w:sz w:val="18"/>
                <w:szCs w:val="18"/>
                <w:color w:val="000000"/>
              </w:rPr>
              <w:t>V1.2</w:t>
            </w:r>
          </w:p>
        </w:tc>
        <w:tc>
          <w:tcPr>
            <w:tcW w:type="dxa" w:w="2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cs="Times New Roman" w:eastAsia="宋体"/>
                <w:sz w:val="18"/>
                <w:szCs w:val="18"/>
                <w:color w:val="000000"/>
              </w:rPr>
            </w:r>
            <w:r>
              <w:rPr>
                <w:rFonts w:ascii="Times New Roman" w:hAnsi="Times New Roman" w:eastAsia="宋体" w:cs="Times New Roman"/>
                <w:sz w:val="18"/>
                <w:szCs w:val="18"/>
                <w:color w:val="000000"/>
              </w:rPr>
              <w:t>2026-10-11</w:t>
            </w:r>
          </w:p>
        </w:tc>
        <w:tc>
          <w:tcPr>
            <w:tcW w:type="dxa" w:w="2296"/>
          </w:tcPr>
          <w:p>
            <w:pPr>
              <w:spacing w:before="20" w:after="20"/>
            </w:pPr>
            <w:r>
              <w:rPr>
                <w:rFonts w:ascii="Times New Roman" w:hAnsi="Times New Roman" w:cs="Times New Roman" w:eastAsia="宋体"/>
                <w:sz w:val="18"/>
                <w:szCs w:val="18"/>
                <w:color w:val="000000"/>
              </w:rPr>
            </w:r>
            <w:r>
              <w:rPr>
                <w:rFonts w:ascii="Times New Roman" w:hAnsi="Times New Roman" w:eastAsia="宋体" w:cs="Times New Roman"/>
                <w:sz w:val="18"/>
                <w:szCs w:val="18"/>
                <w:color w:val="000000"/>
              </w:rPr>
              <w:t>样式优化；补充文档信息、修订记录与配套文件说明</w:t>
            </w:r>
          </w:p>
        </w:tc>
        <w:tc>
          <w:tcPr>
            <w:tcW w:type="dxa" w:w="2296"/>
          </w:tcPr>
          <w:p>
            <w:pPr>
              <w:spacing w:before="20" w:after="20"/>
              <w:jc w:val="center"/>
            </w:pPr>
            <w:r>
              <w:rPr>
                <w:rFonts w:ascii="Times New Roman" w:hAnsi="Times New Roman" w:cs="Times New Roman" w:eastAsia="宋体"/>
                <w:sz w:val="18"/>
                <w:szCs w:val="18"/>
                <w:color w:val="000000"/>
              </w:rPr>
            </w:r>
            <w:r>
              <w:rPr>
                <w:rFonts w:ascii="Times New Roman" w:hAnsi="Times New Roman" w:eastAsia="宋体" w:cs="Times New Roman"/>
                <w:sz w:val="18"/>
                <w:szCs w:val="18"/>
                <w:color w:val="000000"/>
              </w:rPr>
              <w:t>商业规划</w:t>
            </w:r>
          </w:p>
        </w:tc>
      </w:tr>
    </w:tbl>
    <w:p>
      <w:pPr>
        <w:spacing w:before="200"/>
      </w:pPr>
      <w:r>
        <w:rPr>
          <w:rFonts w:ascii="Times New Roman" w:hAnsi="Times New Roman" w:eastAsia="宋体" w:cs="Times New Roman"/>
          <w:color w:val="000000"/>
          <w:sz w:val="18"/>
          <w:szCs w:val="18"/>
        </w:rPr>
        <w:t>本文件属「游乐场 10 月经营」文档集，与会议纪要、客诉整改报告、推广与预算报告、一线执行卡、执行跟踪表、经营作战图、应急 SOP、损益预测模型配套使用。密级：内部资料，请勿外传。</w:t>
      </w:r>
    </w:p>
    <w:sectPr>
      <w:footerReference w:type="default" r:id="rId6"/>
      <w:headerReference w:type="default" r:id="rId9"/>
      <w:pgSz w:w="11906" w:h="16838" w:orient="portrait"/>
      <w:pgMar w:top="1247" w:right="1361" w:bottom="1247" w:left="1361" w:header="680" w:footer="6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hAnsi="Times New Roman" w:cs="Times New Roman" w:eastAsia="微软雅黑"/>
        <w:sz w:val="18"/>
        <w:szCs w:val="18"/>
        <w:color w:val="000000"/>
      </w:rPr>
      <w:t xml:space="preserve">第 </w:t>
    </w:r>
    <w:r>
      <w:rPr>
        <w:rFonts w:ascii="Times New Roman" w:hAnsi="Times New Roman" w:cs="Times New Roman" w:eastAsia="微软雅黑"/>
        <w:sz w:val="18"/>
        <w:szCs w:val="18"/>
        <w:color w:val="000000"/>
      </w:rPr>
      <w:fldChar w:fldCharType="begin"/>
    </w:r>
    <w:r>
      <w:rPr>
        <w:rFonts w:ascii="Times New Roman" w:hAnsi="Times New Roman" w:cs="Times New Roman" w:eastAsia="微软雅黑"/>
        <w:sz w:val="18"/>
        <w:szCs w:val="18"/>
        <w:color w:val="000000"/>
      </w:rPr>
      <w:instrText xml:space="preserve"> PAGE </w:instrText>
    </w:r>
    <w:r>
      <w:rPr>
        <w:rFonts w:ascii="Times New Roman" w:hAnsi="Times New Roman" w:cs="Times New Roman" w:eastAsia="微软雅黑"/>
        <w:sz w:val="18"/>
        <w:szCs w:val="18"/>
        <w:color w:val="000000"/>
      </w:rPr>
      <w:fldChar w:fldCharType="separate"/>
    </w:r>
    <w:r>
      <w:rPr>
        <w:rFonts w:ascii="Times New Roman" w:hAnsi="Times New Roman" w:cs="Times New Roman" w:eastAsia="微软雅黑"/>
        <w:sz w:val="18"/>
        <w:szCs w:val="18"/>
        <w:color w:val="000000"/>
      </w:rPr>
      <w:t>1</w:t>
    </w:r>
    <w:r>
      <w:rPr>
        <w:rFonts w:ascii="Times New Roman" w:hAnsi="Times New Roman" w:cs="Times New Roman" w:eastAsia="微软雅黑"/>
        <w:sz w:val="18"/>
        <w:szCs w:val="18"/>
        <w:color w:val="000000"/>
      </w:rPr>
      <w:fldChar w:fldCharType="end"/>
    </w:r>
    <w:r>
      <w:rPr>
        <w:rFonts w:ascii="Times New Roman" w:hAnsi="Times New Roman" w:cs="Times New Roman" w:eastAsia="微软雅黑"/>
        <w:sz w:val="18"/>
        <w:szCs w:val="18"/>
        <w:color w:val="000000"/>
      </w:rPr>
      <w:t xml:space="preserve"> 页 / 共 </w:t>
    </w:r>
    <w:r>
      <w:rPr>
        <w:rFonts w:ascii="Times New Roman" w:hAnsi="Times New Roman" w:cs="Times New Roman" w:eastAsia="微软雅黑"/>
        <w:sz w:val="18"/>
        <w:szCs w:val="18"/>
        <w:color w:val="000000"/>
      </w:rPr>
      <w:fldChar w:fldCharType="begin"/>
    </w:r>
    <w:r>
      <w:rPr>
        <w:rFonts w:ascii="Times New Roman" w:hAnsi="Times New Roman" w:cs="Times New Roman" w:eastAsia="微软雅黑"/>
        <w:sz w:val="18"/>
        <w:szCs w:val="18"/>
        <w:color w:val="000000"/>
      </w:rPr>
      <w:instrText xml:space="preserve"> NUMPAGES </w:instrText>
    </w:r>
    <w:r>
      <w:rPr>
        <w:rFonts w:ascii="Times New Roman" w:hAnsi="Times New Roman" w:cs="Times New Roman" w:eastAsia="微软雅黑"/>
        <w:sz w:val="18"/>
        <w:szCs w:val="18"/>
        <w:color w:val="000000"/>
      </w:rPr>
      <w:fldChar w:fldCharType="separate"/>
    </w:r>
    <w:r>
      <w:rPr>
        <w:rFonts w:ascii="Times New Roman" w:hAnsi="Times New Roman" w:cs="Times New Roman" w:eastAsia="微软雅黑"/>
        <w:sz w:val="18"/>
        <w:szCs w:val="18"/>
        <w:color w:val="000000"/>
      </w:rPr>
      <w:t>1</w:t>
    </w:r>
    <w:r>
      <w:rPr>
        <w:rFonts w:ascii="Times New Roman" w:hAnsi="Times New Roman" w:cs="Times New Roman" w:eastAsia="微软雅黑"/>
        <w:sz w:val="18"/>
        <w:szCs w:val="18"/>
        <w:color w:val="000000"/>
      </w:rPr>
      <w:fldChar w:fldCharType="end"/>
    </w:r>
    <w:r>
      <w:rPr>
        <w:rFonts w:ascii="Times New Roman" w:hAnsi="Times New Roman" w:cs="Times New Roman" w:eastAsia="微软雅黑"/>
        <w:sz w:val="18"/>
        <w:szCs w:val="18"/>
        <w:color w:val="000000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val="right" w:pos="9184"/>
      </w:tabs>
      <w:spacing w:after="40"/>
      <w:pBdr>
        <w:bottom w:val="single" w:sz="6" w:space="1" w:color="999999"/>
      </w:pBdr>
    </w:pPr>
    <w:r>
      <w:rPr>
        <w:rFonts w:ascii="Times New Roman" w:hAnsi="Times New Roman" w:cs="Times New Roman" w:eastAsia="微软雅黑"/>
        <w:sz w:val="18"/>
        <w:szCs w:val="18"/>
        <w:color w:val="000000"/>
      </w:rPr>
      <w:t xml:space="preserve">游乐场 10 月经营 · 推广与预算报告 </w:t>
    </w:r>
    <w:r>
      <w:rPr>
        <w:rFonts w:ascii="Times New Roman" w:hAnsi="Times New Roman" w:cs="Times New Roman" w:eastAsia="微软雅黑"/>
        <w:sz w:val="18"/>
        <w:szCs w:val="18"/>
        <w:color w:val="000000"/>
      </w:rPr>
      <w:tab/>
      <w:t xml:space="preserve">内部资料 · 请勿外传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20" w:hanging="21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sz w:val="21"/>
        <w:szCs w:val="21"/>
      </w:rPr>
    </w:rPrDefault>
    <w:pPrDefault>
      <w:pPr>
        <w:spacing w:after="120" w:line="360" w:lineRule="auto"/>
      </w:pPr>
    </w:pPrDefault>
  </w:docDefaults>
  <w:style w:type="paragraph" w:styleId="Normal" w:default="1">
    <w:pPr>
      <w:spacing w:before="0" w:after="120" w:line="360" w:lineRule="auto"/>
      <w:outlineLvl w:val="9"/>
    </w:pPr>
    <w:name w:val="Normal"/>
    <w:qFormat/>
    <w:rPr>
      <w:rFonts w:ascii="Times New Roman" w:hAnsi="Times New Roman" w:cs="Times New Roman" w:eastAsia="宋体"/>
      <w:sz w:val="21"/>
      <w:szCs w:val="21"/>
      <w:color w:val="000000"/>
    </w:rPr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pPr>
      <w:spacing w:before="0" w:after="240" w:line="276" w:lineRule="auto"/>
      <w:outlineLvl w:val="0"/>
    </w:pPr>
    <w:name w:val="Title"/>
    <w:basedOn w:val="Normal"/>
    <w:next w:val="Normal"/>
    <w:qFormat/>
    <w:rPr>
      <w:rFonts w:ascii="Times New Roman" w:hAnsi="Times New Roman" w:cs="Times New Roman" w:eastAsia="微软雅黑"/>
      <w:sz w:val="44"/>
      <w:szCs w:val="44"/>
      <w:color w:val="000000"/>
      <w:b w:val="1"/>
    </w:rPr>
  </w:style>
  <w:style w:type="paragraph" w:styleId="Heading1">
    <w:name w:val="Heading 1"/>
    <w:basedOn w:val="Normal"/>
    <w:next w:val="Normal"/>
    <w:qFormat/>
    <w:rPr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0000"/>
      <w:sz w:val="26"/>
      <w:szCs w:val="26"/>
    </w:rPr>
  </w:style>
  <w:style w:type="paragraph" w:styleId="Heading3">
    <w:name w:val="Heading 3"/>
    <w:basedOn w:val="Normal"/>
    <w:next w:val="Normal"/>
    <w:qFormat/>
    <w:rPr>
      <w:color w:val="000000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0000"/>
    </w:rPr>
  </w:style>
  <w:style w:type="paragraph" w:styleId="Heading5">
    <w:name w:val="Heading 5"/>
    <w:basedOn w:val="Normal"/>
    <w:next w:val="Normal"/>
    <w:qFormat/>
    <w:rPr>
      <w:color w:val="000000"/>
    </w:rPr>
  </w:style>
  <w:style w:type="paragraph" w:styleId="Heading6">
    <w:name w:val="Heading 6"/>
    <w:basedOn w:val="Normal"/>
    <w:next w:val="Normal"/>
    <w:qFormat/>
    <w:rPr>
      <w:color w:val="000000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pPr>
      <w:spacing w:before="0" w:after="120" w:line="360" w:lineRule="auto"/>
      <w:outlineLvl w:val="9"/>
    </w:pPr>
    <w:name w:val="List Paragraph"/>
    <w:basedOn w:val="Normal"/>
    <w:qFormat/>
    <w:rPr>
      <w:rFonts w:ascii="Times New Roman" w:hAnsi="Times New Roman" w:cs="Times New Roman" w:eastAsia="宋体"/>
      <w:sz w:val="21"/>
      <w:szCs w:val="21"/>
      <w:color w:val="000000"/>
    </w:rPr>
  </w:style>
  <w:style w:type="character" w:styleId="Hyperlink">
    <w:name w:val="Hyperlink"/>
    <w:basedOn w:val="DefaultParagraphFont"/>
    <w:uiPriority w:val="99"/>
    <w:unhideWhenUsed/>
    <w:rPr>
      <w:color w:val="000000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customStyle="1" w:styleId="Heading1">
    <w:pPr>
      <w:spacing w:before="280" w:after="120" w:line="300" w:lineRule="auto"/>
      <w:outlineLvl w:val="0"/>
    </w:pPr>
    <w:name w:val="heading 1"/>
    <w:rPr>
      <w:rFonts w:ascii="Times New Roman" w:hAnsi="Times New Roman" w:cs="Times New Roman" w:eastAsia="微软雅黑"/>
      <w:sz w:val="32"/>
      <w:szCs w:val="32"/>
      <w:color w:val="000000"/>
      <w:b w:val="1"/>
    </w:rPr>
  </w:style>
  <w:style w:type="paragraph" w:customStyle="1" w:styleId="Heading2">
    <w:pPr>
      <w:spacing w:before="220" w:after="100" w:line="300" w:lineRule="auto"/>
      <w:outlineLvl w:val="1"/>
    </w:pPr>
    <w:name w:val="heading 2"/>
    <w:rPr>
      <w:rFonts w:ascii="Times New Roman" w:hAnsi="Times New Roman" w:cs="Times New Roman" w:eastAsia="微软雅黑"/>
      <w:sz w:val="28"/>
      <w:szCs w:val="28"/>
      <w:color w:val="000000"/>
      <w:b w:val="1"/>
    </w:rPr>
  </w:style>
  <w:style w:type="paragraph" w:customStyle="1" w:styleId="Heading3">
    <w:pPr>
      <w:spacing w:before="160" w:after="80" w:line="300" w:lineRule="auto"/>
      <w:outlineLvl w:val="2"/>
    </w:pPr>
    <w:name w:val="heading 3"/>
    <w:rPr>
      <w:rFonts w:ascii="Times New Roman" w:hAnsi="Times New Roman" w:cs="Times New Roman" w:eastAsia="微软雅黑"/>
      <w:sz w:val="24"/>
      <w:szCs w:val="24"/>
      <w:color w:val="000000"/>
      <w:b w:val="1"/>
    </w:rPr>
  </w:style>
  <w:style w:type="paragraph" w:customStyle="1" w:styleId="Heading4">
    <w:pPr>
      <w:spacing w:before="120" w:after="60" w:line="300" w:lineRule="auto"/>
      <w:outlineLvl w:val="3"/>
    </w:pPr>
    <w:name w:val="heading 4"/>
    <w:rPr>
      <w:rFonts w:ascii="Times New Roman" w:hAnsi="Times New Roman" w:cs="Times New Roman" w:eastAsia="微软雅黑"/>
      <w:sz w:val="21"/>
      <w:szCs w:val="21"/>
      <w:color w:val="000000"/>
      <w:b w:val="1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2026-10-11T02:01:30.532Z</dcterms:created>
  <dcterms:modified xsi:type="dcterms:W3CDTF">2026-10-11T02:01:30.532Z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