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SimHei" w:eastAsia="SimHei" w:hAnsi="SimHei"/>
          <w:b/>
          <w:bCs/>
          <w:color w:val="000000"/>
          <w:sz w:val="32"/>
          <w:szCs w:val="32"/>
        </w:rPr>
        <w:t xml:space="preserve">主题乐园扩建项目介绍</w:t>
      </w:r>
    </w:p>
    <w:p>
      <w:pPr>
        <w:spacing w:after="140" w:before="100" w:line="320"/>
        <w:ind w:left="400"/>
      </w:pPr>
      <w:r>
        <w:rPr>
          <w:rFonts w:ascii="Times New Roman" w:eastAsia="SimSun" w:hAnsi="Times New Roman"/>
          <w:b w:val="false"/>
          <w:bCs w:val="false"/>
          <w:color w:val="000000"/>
          <w:sz w:val="21"/>
          <w:szCs w:val="21"/>
        </w:rPr>
        <w:t xml:space="preserve">2026 年 10 月</w:t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一、项目概览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8100"/>
      </w:tblGrid>
      <w:tr>
        <w:trPr>
          <w:tblHeader/>
        </w:trPr>
        <w:tc>
          <w:tcPr>
            <w:tcW w:type="dxa" w:w="900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项</w:t>
            </w:r>
          </w:p>
        </w:tc>
        <w:tc>
          <w:tcPr>
            <w:tcW w:type="dxa" w:w="8100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内容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项目区位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重庆市 · 北碚区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建设内容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① 室内主题乐园楼（约 1.5 万㎡）② 室外过山车 ③ 园区水景翻新与夜场升级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项目定位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北碚及周边 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30–60 分钟车程片区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居民的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全年全天候高频乐园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面向客群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亲子家庭 / 年轻客群 / 本地常客 / 学校与企业团体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核心能力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全天候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（雨天、酷暑照常玩）· 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全时段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（白天室内、傍晚夜秀）· 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高频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（内容常新、年卡可反复到访）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项目状态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推进中（具体节点以官方发布为准）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spacing w:after="140" w:before="100" w:line="320"/>
        <w:ind w:left="400"/>
      </w:pPr>
      <w:r>
        <w:rPr>
          <w:rFonts w:ascii="Times New Roman" w:eastAsia="SimSun" w:hAnsi="Times New Roman"/>
          <w:b/>
          <w:bCs/>
          <w:color w:val="000000"/>
          <w:sz w:val="21"/>
          <w:szCs w:val="21"/>
        </w:rPr>
        <w:t xml:space="preserve">一句话</w:t>
      </w:r>
      <w:r>
        <w:rPr>
          <w:rFonts w:ascii="Times New Roman" w:eastAsia="SimSun" w:hAnsi="Times New Roman"/>
          <w:b w:val="false"/>
          <w:bCs w:val="false"/>
          <w:color w:val="000000"/>
          <w:sz w:val="21"/>
          <w:szCs w:val="21"/>
        </w:rPr>
        <w:t xml:space="preserve">：</w:t>
      </w:r>
      <w:r>
        <w:rPr>
          <w:rFonts w:ascii="Times New Roman" w:eastAsia="SimSun" w:hAnsi="Times New Roman"/>
          <w:b/>
          <w:bCs/>
          <w:color w:val="000000"/>
          <w:sz w:val="21"/>
          <w:szCs w:val="21"/>
        </w:rPr>
        <w:t xml:space="preserve">下雨能玩、晚上能玩、一年会来很多次的本地乐园。</w:t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二、为什么是北碚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2.1 片区里唯一缺大型乐园的地方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北碚东接渝北、南连沙坪坝、西接璧山、北邻合川——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四个方向都是人口腹地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而北碚是本片区中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唯一没有大型主题乐园的区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——"片区第一"的位置在此空缺；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北碚常住人口 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83.5 万人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（第七次全国人口普查）；周边 30–60 分钟车程覆盖人口约 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300–400 万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2.2 交通可达性（公开信息）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8100"/>
      </w:tblGrid>
      <w:tr>
        <w:trPr>
          <w:tblHeader/>
        </w:trPr>
        <w:tc>
          <w:tcPr>
            <w:tcW w:type="dxa" w:w="900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维度</w:t>
            </w:r>
          </w:p>
        </w:tc>
        <w:tc>
          <w:tcPr>
            <w:tcW w:type="dxa" w:w="8100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现状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轨道交通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轨道 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6 号线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北碚段共 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7 个站点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（曹家湾 / 蔡家 / 向家岗 / 龙凤溪 / 状元碑 / 西南大学 / 北碚），2013 年底开通；北碚段日均客流 8 万余人次（北碚区政府 2019 年口径）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公交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全区公交线路 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75 条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（北碚区政府 2019 年口径），覆盖相邻各区；北碚站周边可换乘数十条线路，含机场专线、合川专线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高速 / 干道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绕城高速、渝武高速、渝广高速、中环快速路 + 4 条国道（G212 / G244 / G351 / G319）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高铁（在建）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北碚南站（渝西高铁）在建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，选址歇马街道，站房 7902 ㎡、2 台 6 线；建成后北碚将首次接入国家高铁网，可快速通达西安、成都、昆明等城市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区位</w:t>
            </w:r>
          </w:p>
        </w:tc>
        <w:tc>
          <w:tcPr>
            <w:tcW w:type="dxa" w:w="8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北碚距重庆市中心 24 公里、距江北国际机场 27 公里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2.3 本地市场底色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重庆是客流巨城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：2024 年接待国内游客 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4.73 亿人次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、国内游客花费 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5031.93 亿元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（《2024 年重庆市旅游业统计公报》）；游客接待总量居全国城市首位。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夜经济基础扎实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：重庆连续四年位列"中国十大夜经济影响力城市"榜首（据 2026 重庆城市商业价值推介大会公开信息）；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北碚滨江休闲区为国家首批"国家级夜间文化和旅游消费集聚区"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（重庆共 6 个）。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气候带来的明确需求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：重庆夏季普遍 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35–40℃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、多雨——室外乐园的运营天数与体验受天气明显制约，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室内全天候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因此成为本地刚需。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2.4 对片区的意义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98"/>
        <w:gridCol w:w="7902"/>
      </w:tblGrid>
      <w:tr>
        <w:trPr>
          <w:tblHeader/>
        </w:trPr>
        <w:tc>
          <w:tcPr>
            <w:tcW w:type="dxa" w:w="1098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方向</w:t>
            </w:r>
          </w:p>
        </w:tc>
        <w:tc>
          <w:tcPr>
            <w:tcW w:type="dxa" w:w="7902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内容</w:t>
            </w:r>
          </w:p>
        </w:tc>
      </w:tr>
      <w:tr>
        <w:tc>
          <w:tcPr>
            <w:tcW w:type="dxa" w:w="109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片区配套</w:t>
            </w:r>
          </w:p>
        </w:tc>
        <w:tc>
          <w:tcPr>
            <w:tcW w:type="dxa" w:w="790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为北碚及邻接片区提供全天候的亲子与休闲空间，弥补片区大型主题乐园的空缺</w:t>
            </w:r>
          </w:p>
        </w:tc>
      </w:tr>
      <w:tr>
        <w:tc>
          <w:tcPr>
            <w:tcW w:type="dxa" w:w="109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夜间经济</w:t>
            </w:r>
          </w:p>
        </w:tc>
        <w:tc>
          <w:tcPr>
            <w:tcW w:type="dxa" w:w="790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以水景夜场与夜间演艺，接入北碚"国家级夜间文化和旅游消费集聚区"的整体布局</w:t>
            </w:r>
          </w:p>
        </w:tc>
      </w:tr>
      <w:tr>
        <w:tc>
          <w:tcPr>
            <w:tcW w:type="dxa" w:w="109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就业与消费</w:t>
            </w:r>
          </w:p>
        </w:tc>
        <w:tc>
          <w:tcPr>
            <w:tcW w:type="dxa" w:w="790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建设期与运营期均产生本地用工需求，并带动周边餐饮、住宿、交通等相关消费</w:t>
            </w:r>
          </w:p>
        </w:tc>
      </w:tr>
      <w:tr>
        <w:tc>
          <w:tcPr>
            <w:tcW w:type="dxa" w:w="109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文旅协同</w:t>
            </w:r>
          </w:p>
        </w:tc>
        <w:tc>
          <w:tcPr>
            <w:tcW w:type="dxa" w:w="790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与北碚温泉、滨江休闲区等既有资源形成互补，共同丰富片区文旅供给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三、我们提供什么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3.1 三大板块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482"/>
        <w:gridCol w:w="2224"/>
        <w:gridCol w:w="5294"/>
      </w:tblGrid>
      <w:tr>
        <w:trPr>
          <w:tblHeader/>
        </w:trPr>
        <w:tc>
          <w:tcPr>
            <w:tcW w:type="dxa" w:w="1482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板块</w:t>
            </w:r>
          </w:p>
        </w:tc>
        <w:tc>
          <w:tcPr>
            <w:tcW w:type="dxa" w:w="2224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规格</w:t>
            </w:r>
          </w:p>
        </w:tc>
        <w:tc>
          <w:tcPr>
            <w:tcW w:type="dxa" w:w="5294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对客价值</w:t>
            </w:r>
          </w:p>
        </w:tc>
      </w:tr>
      <w:tr>
        <w:tc>
          <w:tcPr>
            <w:tcW w:type="dxa" w:w="148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室内主题乐园楼</w:t>
            </w:r>
          </w:p>
        </w:tc>
        <w:tc>
          <w:tcPr>
            <w:tcW w:type="dxa" w:w="22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约 1.5 万㎡，全年运营</w:t>
            </w:r>
          </w:p>
        </w:tc>
        <w:tc>
          <w:tcPr>
            <w:tcW w:type="dxa" w:w="529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全天候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：不受高温、暴雨、严寒影响，行程不因天气作废</w:t>
            </w:r>
          </w:p>
        </w:tc>
      </w:tr>
      <w:tr>
        <w:tc>
          <w:tcPr>
            <w:tcW w:type="dxa" w:w="148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室外过山车</w:t>
            </w:r>
          </w:p>
        </w:tc>
        <w:tc>
          <w:tcPr>
            <w:tcW w:type="dxa" w:w="22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全新轨道类游乐设备</w:t>
            </w:r>
          </w:p>
        </w:tc>
        <w:tc>
          <w:tcPr>
            <w:tcW w:type="dxa" w:w="529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园区内最强的"必须来一次"体验</w:t>
            </w:r>
          </w:p>
        </w:tc>
      </w:tr>
      <w:tr>
        <w:tc>
          <w:tcPr>
            <w:tcW w:type="dxa" w:w="148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水景翻新与夜场</w:t>
            </w:r>
          </w:p>
        </w:tc>
        <w:tc>
          <w:tcPr>
            <w:tcW w:type="dxa" w:w="22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园区水系 + 夜间演艺</w:t>
            </w:r>
          </w:p>
        </w:tc>
        <w:tc>
          <w:tcPr>
            <w:tcW w:type="dxa" w:w="529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全时段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：白天玩馆、傍晚看秀，一天可当两天用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3.2 主题与叙事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主题母题取自重庆</w:t>
      </w:r>
      <w:r>
        <w:rPr>
          <w:rFonts w:ascii="Times New Roman" w:eastAsia="SimSun" w:hAnsi="Times New Roman"/>
          <w:b/>
          <w:bCs/>
          <w:color w:val="000000"/>
          <w:sz w:val="24"/>
          <w:szCs w:val="24"/>
        </w:rPr>
        <w:t xml:space="preserve">"山水江城"</w:t>
      </w: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——山城形态、江波意象、巴渝木构与灯笼元素贯穿室内外空间，与室外园区、水景夜秀形成统一叙事。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/>
          <w:bCs/>
          <w:color w:val="000000"/>
          <w:sz w:val="24"/>
          <w:szCs w:val="24"/>
        </w:rPr>
        <w:t xml:space="preserve">我们不依赖外部 IP 授权</w:t>
      </w: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：项目拥有</w:t>
      </w:r>
      <w:r>
        <w:rPr>
          <w:rFonts w:ascii="Times New Roman" w:eastAsia="SimSun" w:hAnsi="Times New Roman"/>
          <w:b/>
          <w:bCs/>
          <w:color w:val="000000"/>
          <w:sz w:val="24"/>
          <w:szCs w:val="24"/>
        </w:rPr>
        <w:t xml:space="preserve">自有 IP 内容资产</w:t>
      </w: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，主题与内容可长期自主迭代，不因授权到期而"换脸"。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3.3 五大功能分区（室内乐园楼）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909"/>
        <w:gridCol w:w="1091"/>
        <w:gridCol w:w="6000"/>
      </w:tblGrid>
      <w:tr>
        <w:trPr>
          <w:tblHeader/>
        </w:trPr>
        <w:tc>
          <w:tcPr>
            <w:tcW w:type="dxa" w:w="1909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分区</w:t>
            </w:r>
          </w:p>
        </w:tc>
        <w:tc>
          <w:tcPr>
            <w:tcW w:type="dxa" w:w="1091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面积占比</w:t>
            </w:r>
          </w:p>
        </w:tc>
        <w:tc>
          <w:tcPr>
            <w:tcW w:type="dxa" w:w="6000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功能</w:t>
            </w:r>
          </w:p>
        </w:tc>
      </w:tr>
      <w:tr>
        <w:tc>
          <w:tcPr>
            <w:tcW w:type="dxa" w:w="190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入口与主题大厅</w:t>
            </w:r>
          </w:p>
        </w:tc>
        <w:tc>
          <w:tcPr>
            <w:tcW w:type="dxa" w:w="109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10%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门票闸机与第一印象</w:t>
            </w:r>
          </w:p>
        </w:tc>
      </w:tr>
      <w:tr>
        <w:tc>
          <w:tcPr>
            <w:tcW w:type="dxa" w:w="190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核心乘骑区</w:t>
            </w:r>
          </w:p>
        </w:tc>
        <w:tc>
          <w:tcPr>
            <w:tcW w:type="dxa" w:w="109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35%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黑暗乘骑 / 飞行影院 / 室内过山车</w:t>
            </w:r>
          </w:p>
        </w:tc>
      </w:tr>
      <w:tr>
        <w:tc>
          <w:tcPr>
            <w:tcW w:type="dxa" w:w="190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亲子互动区</w:t>
            </w:r>
          </w:p>
        </w:tc>
        <w:tc>
          <w:tcPr>
            <w:tcW w:type="dxa" w:w="109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25%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儿童游乐、互动投影、手工体验</w:t>
            </w:r>
          </w:p>
        </w:tc>
      </w:tr>
      <w:tr>
        <w:tc>
          <w:tcPr>
            <w:tcW w:type="dxa" w:w="190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演艺与活动区</w:t>
            </w:r>
          </w:p>
        </w:tc>
        <w:tc>
          <w:tcPr>
            <w:tcW w:type="dxa" w:w="109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15%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小型剧场、多功能厅（研学、生日会、企业活动）</w:t>
            </w:r>
          </w:p>
        </w:tc>
      </w:tr>
      <w:tr>
        <w:tc>
          <w:tcPr>
            <w:tcW w:type="dxa" w:w="190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二消与休憩区</w:t>
            </w:r>
          </w:p>
        </w:tc>
        <w:tc>
          <w:tcPr>
            <w:tcW w:type="dxa" w:w="109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15%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主题餐饮、零售、拍照点、休憩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3.4 核心体验设备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821"/>
        <w:gridCol w:w="6179"/>
      </w:tblGrid>
      <w:tr>
        <w:trPr>
          <w:tblHeader/>
        </w:trPr>
        <w:tc>
          <w:tcPr>
            <w:tcW w:type="dxa" w:w="2821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设备</w:t>
            </w:r>
          </w:p>
        </w:tc>
        <w:tc>
          <w:tcPr>
            <w:tcW w:type="dxa" w:w="6179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体验特征</w:t>
            </w:r>
          </w:p>
        </w:tc>
      </w:tr>
      <w:tr>
        <w:tc>
          <w:tcPr>
            <w:tcW w:type="dxa" w:w="282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黑暗乘骑（Dark Ride）</w:t>
            </w:r>
          </w:p>
        </w:tc>
        <w:tc>
          <w:tcPr>
            <w:tcW w:type="dxa" w:w="617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乘车厢穿越主题场景，全天候、可反复体验</w:t>
            </w:r>
          </w:p>
        </w:tc>
      </w:tr>
      <w:tr>
        <w:tc>
          <w:tcPr>
            <w:tcW w:type="dxa" w:w="282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飞行影院</w:t>
            </w:r>
          </w:p>
        </w:tc>
        <w:tc>
          <w:tcPr>
            <w:tcW w:type="dxa" w:w="617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悬空飞越山水场景，园区内最具视觉冲击的体验之一</w:t>
            </w:r>
          </w:p>
        </w:tc>
      </w:tr>
      <w:tr>
        <w:tc>
          <w:tcPr>
            <w:tcW w:type="dxa" w:w="282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室内中型过山车</w:t>
            </w:r>
          </w:p>
        </w:tc>
        <w:tc>
          <w:tcPr>
            <w:tcW w:type="dxa" w:w="617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与室外设备错位设计，雨天照常可用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3.5 内容更新机制（"高频"能否成立的关键）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588"/>
        <w:gridCol w:w="1059"/>
        <w:gridCol w:w="6353"/>
      </w:tblGrid>
      <w:tr>
        <w:trPr>
          <w:tblHeader/>
        </w:trPr>
        <w:tc>
          <w:tcPr>
            <w:tcW w:type="dxa" w:w="1588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层级</w:t>
            </w:r>
          </w:p>
        </w:tc>
        <w:tc>
          <w:tcPr>
            <w:tcW w:type="dxa" w:w="1059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频率</w:t>
            </w:r>
          </w:p>
        </w:tc>
        <w:tc>
          <w:tcPr>
            <w:tcW w:type="dxa" w:w="6353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内容</w:t>
            </w:r>
          </w:p>
        </w:tc>
      </w:tr>
      <w:tr>
        <w:tc>
          <w:tcPr>
            <w:tcW w:type="dxa" w:w="158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微更新</w:t>
            </w:r>
          </w:p>
        </w:tc>
        <w:tc>
          <w:tcPr>
            <w:tcW w:type="dxa" w:w="105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月度</w:t>
            </w:r>
          </w:p>
        </w:tc>
        <w:tc>
          <w:tcPr>
            <w:tcW w:type="dxa" w:w="635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互动装置玩法、快闪活动</w:t>
            </w:r>
          </w:p>
        </w:tc>
      </w:tr>
      <w:tr>
        <w:tc>
          <w:tcPr>
            <w:tcW w:type="dxa" w:w="158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小更新</w:t>
            </w:r>
          </w:p>
        </w:tc>
        <w:tc>
          <w:tcPr>
            <w:tcW w:type="dxa" w:w="105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季度</w:t>
            </w:r>
          </w:p>
        </w:tc>
        <w:tc>
          <w:tcPr>
            <w:tcW w:type="dxa" w:w="635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主题节庆、演艺轮换</w:t>
            </w:r>
          </w:p>
        </w:tc>
      </w:tr>
      <w:tr>
        <w:tc>
          <w:tcPr>
            <w:tcW w:type="dxa" w:w="158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大更新</w:t>
            </w:r>
          </w:p>
        </w:tc>
        <w:tc>
          <w:tcPr>
            <w:tcW w:type="dxa" w:w="105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年度</w:t>
            </w:r>
          </w:p>
        </w:tc>
        <w:tc>
          <w:tcPr>
            <w:tcW w:type="dxa" w:w="635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新增体验点或主题分区改造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四、怎么玩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4.1 一天怎么玩</w:t>
      </w:r>
    </w:p>
    <w:p>
      <w:pPr>
        <w:pStyle w:val="ListParagraph"/>
        <w:numPr>
          <w:ilvl w:val="0"/>
          <w:numId w:val="3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正午最晒的时段进馆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——把核心设备玩透，不受日晒影响；</w:t>
      </w:r>
    </w:p>
    <w:p>
      <w:pPr>
        <w:pStyle w:val="ListParagraph"/>
        <w:numPr>
          <w:ilvl w:val="0"/>
          <w:numId w:val="3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傍晚转场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——太阳落山后从室内走到室外水景边；</w:t>
      </w:r>
    </w:p>
    <w:p>
      <w:pPr>
        <w:pStyle w:val="ListParagraph"/>
        <w:numPr>
          <w:ilvl w:val="0"/>
          <w:numId w:val="3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夜场看秀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——水景夜秀开演；</w:t>
      </w:r>
    </w:p>
    <w:p>
      <w:pPr>
        <w:pStyle w:val="ListParagraph"/>
        <w:numPr>
          <w:ilvl w:val="0"/>
          <w:numId w:val="3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顺路二消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——散场动线经过主题餐饮与零售区。</w:t>
      </w:r>
    </w:p>
    <w:p>
      <w:pPr>
        <w:spacing w:after="140" w:before="100" w:line="320"/>
        <w:ind w:left="400"/>
      </w:pPr>
      <w:r>
        <w:rPr>
          <w:rFonts w:ascii="Times New Roman" w:eastAsia="SimSun" w:hAnsi="Times New Roman"/>
          <w:b w:val="false"/>
          <w:bCs w:val="false"/>
          <w:color w:val="000000"/>
          <w:sz w:val="21"/>
          <w:szCs w:val="21"/>
        </w:rPr>
        <w:t xml:space="preserve">对游客的实际意义：</w:t>
      </w:r>
      <w:r>
        <w:rPr>
          <w:rFonts w:ascii="Times New Roman" w:eastAsia="SimSun" w:hAnsi="Times New Roman"/>
          <w:b/>
          <w:bCs/>
          <w:color w:val="000000"/>
          <w:sz w:val="21"/>
          <w:szCs w:val="21"/>
        </w:rPr>
        <w:t xml:space="preserve">上午来、晚上走，中间不用换地方、不用看天气</w:t>
      </w:r>
      <w:r>
        <w:rPr>
          <w:rFonts w:ascii="Times New Roman" w:eastAsia="SimSun" w:hAnsi="Times New Roman"/>
          <w:b w:val="false"/>
          <w:bCs w:val="false"/>
          <w:color w:val="000000"/>
          <w:sz w:val="21"/>
          <w:szCs w:val="21"/>
        </w:rPr>
        <w:t xml:space="preserve">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4.2 一年怎么来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亲子家庭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：日常遛娃、周末半天、放学后时段——室内不受天气影响，安排不会被临时取消；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年轻客群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：夜场、社交、出片——夜秀与节庆主题（万圣、跨年等）；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本地常客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：内容按季更新，年卡可反复到访；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团体客群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：研学、团建、生日会、社区活动。</w:t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五、票制与会员体系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143"/>
        <w:gridCol w:w="6857"/>
      </w:tblGrid>
      <w:tr>
        <w:trPr>
          <w:tblHeader/>
        </w:trPr>
        <w:tc>
          <w:tcPr>
            <w:tcW w:type="dxa" w:w="2143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票种</w:t>
            </w:r>
          </w:p>
        </w:tc>
        <w:tc>
          <w:tcPr>
            <w:tcW w:type="dxa" w:w="6857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说明</w:t>
            </w:r>
          </w:p>
        </w:tc>
      </w:tr>
      <w:tr>
        <w:tc>
          <w:tcPr>
            <w:tcW w:type="dxa" w:w="214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单日票</w:t>
            </w:r>
          </w:p>
        </w:tc>
        <w:tc>
          <w:tcPr>
            <w:tcW w:type="dxa" w:w="6857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分平日 / 高峰时段</w:t>
            </w:r>
          </w:p>
        </w:tc>
      </w:tr>
      <w:tr>
        <w:tc>
          <w:tcPr>
            <w:tcW w:type="dxa" w:w="214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夜场票</w:t>
            </w:r>
          </w:p>
        </w:tc>
        <w:tc>
          <w:tcPr>
            <w:tcW w:type="dxa" w:w="6857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傍晚时段入园，适合夜秀与夜间社交</w:t>
            </w:r>
          </w:p>
        </w:tc>
      </w:tr>
      <w:tr>
        <w:tc>
          <w:tcPr>
            <w:tcW w:type="dxa" w:w="214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年卡（核心）</w:t>
            </w:r>
          </w:p>
        </w:tc>
        <w:tc>
          <w:tcPr>
            <w:tcW w:type="dxa" w:w="6857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全年多次入园；含专属权益（优先预约、会员活动等）</w:t>
            </w:r>
          </w:p>
        </w:tc>
      </w:tr>
      <w:tr>
        <w:tc>
          <w:tcPr>
            <w:tcW w:type="dxa" w:w="214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亲子年卡</w:t>
            </w:r>
          </w:p>
        </w:tc>
        <w:tc>
          <w:tcPr>
            <w:tcW w:type="dxa" w:w="6857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面向家庭客群设计</w:t>
            </w:r>
          </w:p>
        </w:tc>
      </w:tr>
      <w:tr>
        <w:tc>
          <w:tcPr>
            <w:tcW w:type="dxa" w:w="214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团体票 / 研学包</w:t>
            </w:r>
          </w:p>
        </w:tc>
        <w:tc>
          <w:tcPr>
            <w:tcW w:type="dxa" w:w="6857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面向学校、企业与机构，按需定制</w:t>
            </w:r>
          </w:p>
        </w:tc>
      </w:tr>
      <w:tr>
        <w:tc>
          <w:tcPr>
            <w:tcW w:type="dxa" w:w="214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会员积分</w:t>
            </w:r>
          </w:p>
        </w:tc>
        <w:tc>
          <w:tcPr>
            <w:tcW w:type="dxa" w:w="6857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园区消费积分，可兑换主题衍生品与专属体验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spacing w:after="140" w:before="100" w:line="320"/>
        <w:ind w:left="400"/>
      </w:pPr>
      <w:r>
        <w:rPr>
          <w:rFonts w:ascii="Times New Roman" w:eastAsia="SimSun" w:hAnsi="Times New Roman"/>
          <w:b/>
          <w:bCs/>
          <w:color w:val="000000"/>
          <w:sz w:val="21"/>
          <w:szCs w:val="21"/>
        </w:rPr>
        <w:t xml:space="preserve">具体价格与权益细则以官方发布为准</w:t>
      </w:r>
      <w:r>
        <w:rPr>
          <w:rFonts w:ascii="Times New Roman" w:eastAsia="SimSun" w:hAnsi="Times New Roman"/>
          <w:b w:val="false"/>
          <w:bCs w:val="false"/>
          <w:color w:val="000000"/>
          <w:sz w:val="21"/>
          <w:szCs w:val="21"/>
        </w:rPr>
        <w:t xml:space="preserve">——正式票务信息将在开业前通过官方渠道公布。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/>
          <w:bCs/>
          <w:color w:val="000000"/>
          <w:sz w:val="24"/>
          <w:szCs w:val="24"/>
        </w:rPr>
        <w:t xml:space="preserve">会员权益方向</w:t>
      </w: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（不含价格）：优先预约与专属通道 ｜ 会员专属活动与探营 ｜ 生日礼遇 ｜ 积分兑换。</w:t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六、如何合作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我们面向以下方向开放合作，欢迎洽谈：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6.1 渠道与票务合作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旅行社、OTA 平台、企业票务平台、本地生活服务平台、区域分销伙伴。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6.2 教育与研学合作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中小学研学、幼儿园春秋游、校外教育机构、研学服务机构。</w:t>
      </w:r>
      <w:r>
        <w:rPr>
          <w:rFonts w:ascii="Times New Roman" w:eastAsia="SimSun" w:hAnsi="Times New Roman"/>
          <w:b/>
          <w:bCs/>
          <w:color w:val="000000"/>
          <w:sz w:val="24"/>
          <w:szCs w:val="24"/>
        </w:rPr>
        <w:t xml:space="preserve">室内场地不受天气影响</w:t>
      </w: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，行程可稳定执行——这是学校组织校外活动最关心的确定性。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6.3 企业客户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企业团建、员工福利、工会活动、客户答谢；多功能厅可用于企业活动与会议配套。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6.4 异业联盟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商业综合体、酒店与温泉、餐饮、影院、母婴与儿童培训、亲子摄影等。北碚温泉资源丰富，</w:t>
      </w:r>
      <w:r>
        <w:rPr>
          <w:rFonts w:ascii="Times New Roman" w:eastAsia="SimSun" w:hAnsi="Times New Roman"/>
          <w:b/>
          <w:bCs/>
          <w:color w:val="000000"/>
          <w:sz w:val="24"/>
          <w:szCs w:val="24"/>
        </w:rPr>
        <w:t xml:space="preserve">"温泉 + 乐园"组合</w:t>
      </w: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具备天然的联动基础。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6.5 园区商业招商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主题餐饮、文创零售、体验类业态、IP 衍生品合作——面向具备园区或文旅商业运营经验的合作方开放。</w:t>
      </w:r>
    </w:p>
    <w:p>
      <w:pPr>
        <w:pStyle w:val="Heading3"/>
      </w:pPr>
      <w:r>
        <w:rPr>
          <w:rFonts w:ascii="SimHei" w:eastAsia="SimHei" w:hAnsi="SimHei"/>
          <w:b/>
          <w:bCs/>
          <w:color w:val="000000"/>
          <w:sz w:val="24"/>
          <w:szCs w:val="24"/>
        </w:rPr>
        <w:t xml:space="preserve">6.6 媒体与内容合作</w:t>
      </w:r>
    </w:p>
    <w:p>
      <w:pPr>
        <w:spacing w:after="120" w:before="0" w:line="360"/>
        <w:ind w:firstLine="480"/>
      </w:pPr>
      <w:r>
        <w:rPr>
          <w:rFonts w:ascii="Times New Roman" w:eastAsia="SimSun" w:hAnsi="Times New Roman"/>
          <w:b w:val="false"/>
          <w:bCs w:val="false"/>
          <w:color w:val="000000"/>
          <w:sz w:val="24"/>
          <w:szCs w:val="24"/>
        </w:rPr>
        <w:t xml:space="preserve">本地媒体、内容创作者、活动策划机构。</w:t>
      </w:r>
    </w:p>
    <w:p>
      <w:pPr>
        <w:spacing w:after="140" w:before="100" w:line="320"/>
        <w:ind w:left="400"/>
      </w:pPr>
      <w:r>
        <w:rPr>
          <w:rFonts w:ascii="Times New Roman" w:eastAsia="SimSun" w:hAnsi="Times New Roman"/>
          <w:b/>
          <w:bCs/>
          <w:color w:val="000000"/>
          <w:sz w:val="21"/>
          <w:szCs w:val="21"/>
        </w:rPr>
        <w:t xml:space="preserve">合作洽谈联系方式</w:t>
      </w:r>
      <w:r>
        <w:rPr>
          <w:rFonts w:ascii="Times New Roman" w:eastAsia="SimSun" w:hAnsi="Times New Roman"/>
          <w:b w:val="false"/>
          <w:bCs w:val="false"/>
          <w:color w:val="000000"/>
          <w:sz w:val="21"/>
          <w:szCs w:val="21"/>
        </w:rPr>
        <w:t xml:space="preserve">：联系人＿＿＿＿＿　电话＿＿＿＿＿　邮箱＿＿＿＿＿</w:t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七、项目进展与后续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项目当前处于</w:t>
      </w: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推进阶段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，设计方案、造价与实施节奏按程序推进；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/>
          <w:bCs/>
          <w:color w:val="000000"/>
          <w:sz w:val="23"/>
          <w:szCs w:val="23"/>
        </w:rPr>
        <w:t xml:space="preserve">具体开业时间以官方发布为准</w:t>
      </w: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，不作提前承诺；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后续将按阶段公布设计进展、合作机会与票务信息。</w:t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八、常见问题</w:t>
      </w:r>
    </w:p>
    <w:tbl>
      <w:tblPr>
        <w:tblW w:type="dxa" w:w="9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192"/>
        <w:gridCol w:w="7808"/>
      </w:tblGrid>
      <w:tr>
        <w:trPr>
          <w:tblHeader/>
        </w:trPr>
        <w:tc>
          <w:tcPr>
            <w:tcW w:type="dxa" w:w="1192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问题</w:t>
            </w:r>
          </w:p>
        </w:tc>
        <w:tc>
          <w:tcPr>
            <w:tcW w:type="dxa" w:w="7808"/>
            <w:shd w:val="clear" w:color="auto" w:fill="E8EDF4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line="300"/>
              <w:jc w:val="center"/>
            </w:pPr>
            <w:r>
              <w:rPr>
                <w:rFonts w:ascii="SimHei" w:eastAsia="SimHei" w:hAnsi="SimHei"/>
                <w:b/>
                <w:bCs/>
                <w:color w:val="000000"/>
                <w:sz w:val="21"/>
                <w:szCs w:val="21"/>
              </w:rPr>
              <w:t xml:space="preserve">回答</w:t>
            </w:r>
          </w:p>
        </w:tc>
      </w:tr>
      <w:tr>
        <w:tc>
          <w:tcPr>
            <w:tcW w:type="dxa" w:w="119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什么时候开业？</w:t>
            </w:r>
          </w:p>
        </w:tc>
        <w:tc>
          <w:tcPr>
            <w:tcW w:type="dxa" w:w="78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项目仍在推进中，具体时间以官方发布为准。</w:t>
            </w:r>
          </w:p>
        </w:tc>
      </w:tr>
      <w:tr>
        <w:tc>
          <w:tcPr>
            <w:tcW w:type="dxa" w:w="119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园区是室外还是室内？</w:t>
            </w:r>
          </w:p>
        </w:tc>
        <w:tc>
          <w:tcPr>
            <w:tcW w:type="dxa" w:w="78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以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室内主题乐园楼为主体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，配合室外过山车与水景夜场——雨天与高温天气照常可玩。</w:t>
            </w:r>
          </w:p>
        </w:tc>
      </w:tr>
      <w:tr>
        <w:tc>
          <w:tcPr>
            <w:tcW w:type="dxa" w:w="119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适合多大的孩子？</w:t>
            </w:r>
          </w:p>
        </w:tc>
        <w:tc>
          <w:tcPr>
            <w:tcW w:type="dxa" w:w="78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设有专门的</w:t>
            </w: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亲子互动区</w:t>
            </w: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（占室内面积 25%），面向低龄儿童与家庭设计；同时有面向青少年与年轻人的乘骑区。</w:t>
            </w:r>
          </w:p>
        </w:tc>
      </w:tr>
      <w:tr>
        <w:tc>
          <w:tcPr>
            <w:tcW w:type="dxa" w:w="119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有没有年卡？</w:t>
            </w:r>
          </w:p>
        </w:tc>
        <w:tc>
          <w:tcPr>
            <w:tcW w:type="dxa" w:w="78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有年卡与亲子年卡体系，具体价格与权益以官方发布为准。</w:t>
            </w:r>
          </w:p>
        </w:tc>
      </w:tr>
      <w:tr>
        <w:tc>
          <w:tcPr>
            <w:tcW w:type="dxa" w:w="119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怎么去？</w:t>
            </w:r>
          </w:p>
        </w:tc>
        <w:tc>
          <w:tcPr>
            <w:tcW w:type="dxa" w:w="78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轨道交通 6 号线北碚段 7 个站点、75 条公交线路、四条高速与多条国道可达；渝西高铁北碚南站正在建设中。园区具体接驳方案将在开业前公布。</w:t>
            </w:r>
          </w:p>
        </w:tc>
      </w:tr>
      <w:tr>
        <w:tc>
          <w:tcPr>
            <w:tcW w:type="dxa" w:w="119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/>
                <w:bCs/>
                <w:color w:val="000000"/>
                <w:sz w:val="21"/>
                <w:szCs w:val="21"/>
              </w:rPr>
              <w:t xml:space="preserve">团体怎么预约？</w:t>
            </w:r>
          </w:p>
        </w:tc>
        <w:tc>
          <w:tcPr>
            <w:tcW w:type="dxa" w:w="78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line="300"/>
            </w:pPr>
            <w:r>
              <w:rPr>
                <w:rFonts w:ascii="Times New Roman" w:eastAsia="SimSu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学校、企业与机构可通过合作渠道定制方案，欢迎联系招商合作部门。</w:t>
            </w:r>
          </w:p>
        </w:tc>
      </w:tr>
    </w:tbl>
    <w:p>
      <w:pPr>
        <w:spacing w:after="100"/>
      </w:pPr>
      <w:r>
        <w:rPr>
          <w:color w:val="000000"/>
          <w:sz w:val="8"/>
          <w:szCs w:val="8"/>
        </w:rPr>
        <w:t xml:space="preserve"/>
      </w:r>
    </w:p>
    <w:p>
      <w:pPr>
        <w:pStyle w:val="Heading2"/>
      </w:pPr>
      <w:r>
        <w:rPr>
          <w:rFonts w:ascii="SimHei" w:eastAsia="SimHei" w:hAnsi="SimHei"/>
          <w:b/>
          <w:bCs/>
          <w:color w:val="000000"/>
          <w:sz w:val="28"/>
          <w:szCs w:val="28"/>
        </w:rPr>
        <w:t xml:space="preserve">九、资料说明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本资料所列规格、分区、票制与合作条件，以最终建成为准；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文中市场与交通数据引自公开来源（重庆市统计局、重庆市文化旅游委、北碚区人民政府公开信息、第七次全国人口普查公报等）；标注"约"的人群与市场数据为估算值，仅供参考；</w:t>
      </w:r>
    </w:p>
    <w:p>
      <w:pPr>
        <w:pStyle w:val="ListParagraph"/>
        <w:numPr>
          <w:ilvl w:val="0"/>
          <w:numId w:val="2"/>
        </w:numPr>
        <w:spacing w:after="40" w:line="340"/>
      </w:pPr>
      <w:r>
        <w:rPr>
          <w:rFonts w:ascii="Times New Roman" w:eastAsia="SimSun" w:hAnsi="Times New Roman"/>
          <w:b w:val="false"/>
          <w:bCs w:val="false"/>
          <w:color w:val="000000"/>
          <w:sz w:val="23"/>
          <w:szCs w:val="23"/>
        </w:rPr>
        <w:t xml:space="preserve">本资料不构成任何承诺或要约；涉及合作的具体条款以双方签署的协议为准。</w:t>
      </w:r>
    </w:p>
    <w:p>
      <w:pPr>
        <w:spacing w:after="140" w:before="100" w:line="320"/>
        <w:ind w:left="400"/>
      </w:pPr>
      <w:r>
        <w:rPr>
          <w:rFonts w:ascii="Times New Roman" w:eastAsia="SimSun" w:hAnsi="Times New Roman"/>
          <w:b/>
          <w:bCs/>
          <w:color w:val="000000"/>
          <w:sz w:val="21"/>
          <w:szCs w:val="21"/>
        </w:rPr>
        <w:t xml:space="preserve">联系信息</w:t>
      </w:r>
      <w:r>
        <w:rPr>
          <w:rFonts w:ascii="Times New Roman" w:eastAsia="SimSun" w:hAnsi="Times New Roman"/>
          <w:b w:val="false"/>
          <w:bCs w:val="false"/>
          <w:color w:val="000000"/>
          <w:sz w:val="21"/>
          <w:szCs w:val="21"/>
        </w:rPr>
        <w:t xml:space="preserve"> 项目招商与合作：联系人＿＿＿＿＿　电话＿＿＿＿＿ 官方账号：＿＿＿＿＿ 项目地址：重庆市北碚区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eastAsia="SimSun" w:hAnsi="Times New Roman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4" w:space="2"/>
      </w:pBdr>
      <w:jc w:val="center"/>
    </w:pPr>
    <w:r>
      <w:rPr>
        <w:rFonts w:ascii="SimHei" w:eastAsia="SimHei" w:hAnsi="SimHei"/>
        <w:color w:val="000000"/>
        <w:sz w:val="18"/>
        <w:szCs w:val="18"/>
      </w:rPr>
      <w:t xml:space="preserve">主题乐园扩建项目介绍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6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6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/>
        <w:color w:val="000000"/>
        <w:sz w:val="24"/>
        <w:szCs w:val="24"/>
      </w:rPr>
    </w:rPrDefault>
    <w:pPrDefault>
      <w:pPr>
        <w:spacing w:line="360"/>
      </w:pPr>
    </w:pPrDefault>
  </w:docDefaults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0000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SimHei" w:eastAsia="SimHei" w:hAnsi="SimHe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30" w:before="260"/>
      <w:outlineLvl w:val="1"/>
    </w:pPr>
    <w:rPr>
      <w:rFonts w:ascii="SimHei" w:eastAsia="SimHei" w:hAnsi="SimHei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SimHei" w:eastAsia="SimHei" w:hAnsi="SimHei"/>
      <w:b/>
      <w:bCs/>
      <w:color w:val="000000"/>
      <w:sz w:val="24"/>
      <w:szCs w:val="24"/>
    </w:rPr>
  </w:style>
  <w:style w:type="paragraph" w:styleId="ListParagraph">
    <w:name w:val="List Paragraph"/>
    <w:basedOn w:val="Normal"/>
    <w:next w:val="Normal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主题乐园扩建项目介绍</dc:title>
  <cp:lastModifiedBy>Un-named</cp:lastModifiedBy>
  <cp:revision>1</cp:revision>
  <dcterms:created xsi:type="dcterms:W3CDTF">2026-10-15T05:32:34.634Z</dcterms:created>
  <dcterms:modified xsi:type="dcterms:W3CDTF">2026-10-15T05:32:34.635Z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